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57A86" w:rsidRDefault="0043390F">
      <w:pPr>
        <w:spacing w:line="620" w:lineRule="exact"/>
        <w:ind w:firstLineChars="200" w:firstLine="880"/>
        <w:jc w:val="center"/>
        <w:rPr>
          <w:rFonts w:ascii="方正小标宋简体" w:eastAsia="方正小标宋简体" w:hAnsi="方正小标宋简体" w:cs="方正小标宋简体"/>
          <w:bCs/>
          <w:kern w:val="0"/>
          <w:sz w:val="44"/>
          <w:szCs w:val="44"/>
        </w:rPr>
      </w:pPr>
      <w:r>
        <w:rPr>
          <w:rFonts w:ascii="方正小标宋简体" w:eastAsia="方正小标宋简体" w:hAnsi="方正小标宋简体" w:cs="方正小标宋简体" w:hint="eastAsia"/>
          <w:bCs/>
          <w:kern w:val="0"/>
          <w:sz w:val="44"/>
          <w:szCs w:val="44"/>
        </w:rPr>
        <w:t>天</w:t>
      </w:r>
      <w:r>
        <w:rPr>
          <w:rFonts w:ascii="方正小标宋简体" w:eastAsia="方正小标宋简体" w:hAnsi="方正小标宋简体" w:cs="方正小标宋简体" w:hint="eastAsia"/>
          <w:bCs/>
          <w:kern w:val="0"/>
          <w:sz w:val="44"/>
          <w:szCs w:val="44"/>
        </w:rPr>
        <w:t>津永</w:t>
      </w:r>
      <w:bookmarkStart w:id="0" w:name="_GoBack"/>
      <w:bookmarkEnd w:id="0"/>
      <w:r>
        <w:rPr>
          <w:rFonts w:ascii="方正小标宋简体" w:eastAsia="方正小标宋简体" w:hAnsi="方正小标宋简体" w:cs="方正小标宋简体" w:hint="eastAsia"/>
          <w:bCs/>
          <w:kern w:val="0"/>
          <w:sz w:val="44"/>
          <w:szCs w:val="44"/>
        </w:rPr>
        <w:t>生伟业建材有限公司“</w:t>
      </w:r>
      <w:r>
        <w:rPr>
          <w:rFonts w:ascii="方正小标宋简体" w:eastAsia="方正小标宋简体" w:hAnsi="方正小标宋简体" w:cs="方正小标宋简体" w:hint="eastAsia"/>
          <w:bCs/>
          <w:kern w:val="0"/>
          <w:sz w:val="44"/>
          <w:szCs w:val="44"/>
        </w:rPr>
        <w:t>5</w:t>
      </w:r>
      <w:r>
        <w:rPr>
          <w:rFonts w:ascii="宋体" w:hAnsi="宋体" w:cs="宋体" w:hint="eastAsia"/>
          <w:bCs/>
          <w:kern w:val="0"/>
          <w:sz w:val="44"/>
          <w:szCs w:val="44"/>
        </w:rPr>
        <w:t>•</w:t>
      </w:r>
      <w:r>
        <w:rPr>
          <w:rFonts w:ascii="方正小标宋简体" w:eastAsia="方正小标宋简体" w:hAnsi="方正小标宋简体" w:cs="方正小标宋简体" w:hint="eastAsia"/>
          <w:bCs/>
          <w:kern w:val="0"/>
          <w:sz w:val="44"/>
          <w:szCs w:val="44"/>
        </w:rPr>
        <w:t>29</w:t>
      </w:r>
      <w:r>
        <w:rPr>
          <w:rFonts w:ascii="方正小标宋简体" w:eastAsia="方正小标宋简体" w:hAnsi="方正小标宋简体" w:cs="方正小标宋简体" w:hint="eastAsia"/>
          <w:bCs/>
          <w:kern w:val="0"/>
          <w:sz w:val="44"/>
          <w:szCs w:val="44"/>
        </w:rPr>
        <w:t>”</w:t>
      </w:r>
    </w:p>
    <w:p w:rsidR="00A57A86" w:rsidRDefault="0043390F">
      <w:pPr>
        <w:spacing w:line="620" w:lineRule="exact"/>
        <w:ind w:firstLineChars="200" w:firstLine="880"/>
        <w:jc w:val="center"/>
        <w:rPr>
          <w:rFonts w:ascii="方正小标宋简体" w:eastAsia="方正小标宋简体" w:hAnsi="方正小标宋简体" w:cs="方正小标宋简体"/>
          <w:bCs/>
          <w:kern w:val="0"/>
          <w:sz w:val="44"/>
          <w:szCs w:val="44"/>
        </w:rPr>
      </w:pPr>
      <w:r>
        <w:rPr>
          <w:rFonts w:ascii="方正小标宋简体" w:eastAsia="方正小标宋简体" w:hAnsi="方正小标宋简体" w:cs="方正小标宋简体" w:hint="eastAsia"/>
          <w:bCs/>
          <w:kern w:val="0"/>
          <w:sz w:val="44"/>
          <w:szCs w:val="44"/>
        </w:rPr>
        <w:t>一般起重机械</w:t>
      </w:r>
      <w:r>
        <w:rPr>
          <w:rFonts w:ascii="方正小标宋简体" w:eastAsia="方正小标宋简体" w:hAnsi="方正小标宋简体" w:cs="方正小标宋简体" w:hint="eastAsia"/>
          <w:bCs/>
          <w:kern w:val="0"/>
          <w:sz w:val="44"/>
          <w:szCs w:val="44"/>
        </w:rPr>
        <w:t>相关</w:t>
      </w:r>
      <w:r>
        <w:rPr>
          <w:rFonts w:ascii="方正小标宋简体" w:eastAsia="方正小标宋简体" w:hAnsi="方正小标宋简体" w:cs="方正小标宋简体" w:hint="eastAsia"/>
          <w:bCs/>
          <w:kern w:val="0"/>
          <w:sz w:val="44"/>
          <w:szCs w:val="44"/>
        </w:rPr>
        <w:t>事故结案评估报告</w:t>
      </w:r>
    </w:p>
    <w:p w:rsidR="00A57A86" w:rsidRDefault="00A57A86">
      <w:pPr>
        <w:pStyle w:val="2"/>
      </w:pPr>
    </w:p>
    <w:p w:rsidR="00A57A86" w:rsidRDefault="0043390F">
      <w:pPr>
        <w:spacing w:line="620" w:lineRule="exact"/>
        <w:ind w:firstLineChars="200" w:firstLine="640"/>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2024</w:t>
      </w:r>
      <w:r>
        <w:rPr>
          <w:rFonts w:ascii="仿宋_GB2312" w:eastAsia="仿宋_GB2312" w:hAnsi="仿宋_GB2312" w:cs="仿宋_GB2312" w:hint="eastAsia"/>
          <w:kern w:val="0"/>
          <w:sz w:val="32"/>
          <w:szCs w:val="32"/>
        </w:rPr>
        <w:t>年</w:t>
      </w:r>
      <w:r>
        <w:rPr>
          <w:rFonts w:ascii="仿宋_GB2312" w:eastAsia="仿宋_GB2312" w:hAnsi="仿宋_GB2312" w:cs="仿宋_GB2312" w:hint="eastAsia"/>
          <w:kern w:val="0"/>
          <w:sz w:val="32"/>
          <w:szCs w:val="32"/>
        </w:rPr>
        <w:t>5</w:t>
      </w:r>
      <w:r>
        <w:rPr>
          <w:rFonts w:ascii="仿宋_GB2312" w:eastAsia="仿宋_GB2312" w:hAnsi="仿宋_GB2312" w:cs="仿宋_GB2312" w:hint="eastAsia"/>
          <w:kern w:val="0"/>
          <w:sz w:val="32"/>
          <w:szCs w:val="32"/>
        </w:rPr>
        <w:t>月</w:t>
      </w:r>
      <w:r>
        <w:rPr>
          <w:rFonts w:ascii="仿宋_GB2312" w:eastAsia="仿宋_GB2312" w:hAnsi="仿宋_GB2312" w:cs="仿宋_GB2312" w:hint="eastAsia"/>
          <w:kern w:val="0"/>
          <w:sz w:val="32"/>
          <w:szCs w:val="32"/>
        </w:rPr>
        <w:t>29</w:t>
      </w:r>
      <w:r>
        <w:rPr>
          <w:rFonts w:ascii="仿宋_GB2312" w:eastAsia="仿宋_GB2312" w:hAnsi="仿宋_GB2312" w:cs="仿宋_GB2312" w:hint="eastAsia"/>
          <w:kern w:val="0"/>
          <w:sz w:val="32"/>
          <w:szCs w:val="32"/>
        </w:rPr>
        <w:t>日</w:t>
      </w:r>
      <w:r>
        <w:rPr>
          <w:rFonts w:ascii="仿宋_GB2312" w:eastAsia="仿宋_GB2312" w:hAnsi="仿宋_GB2312" w:cs="仿宋_GB2312" w:hint="eastAsia"/>
          <w:kern w:val="0"/>
          <w:sz w:val="32"/>
          <w:szCs w:val="32"/>
        </w:rPr>
        <w:t>11</w:t>
      </w:r>
      <w:r>
        <w:rPr>
          <w:rFonts w:ascii="仿宋_GB2312" w:eastAsia="仿宋_GB2312" w:hAnsi="仿宋_GB2312" w:cs="仿宋_GB2312" w:hint="eastAsia"/>
          <w:kern w:val="0"/>
          <w:sz w:val="32"/>
          <w:szCs w:val="32"/>
        </w:rPr>
        <w:t>时</w:t>
      </w:r>
      <w:r>
        <w:rPr>
          <w:rFonts w:ascii="仿宋_GB2312" w:eastAsia="仿宋_GB2312" w:hAnsi="仿宋_GB2312" w:cs="仿宋_GB2312" w:hint="eastAsia"/>
          <w:kern w:val="0"/>
          <w:sz w:val="32"/>
          <w:szCs w:val="32"/>
        </w:rPr>
        <w:t>50</w:t>
      </w:r>
      <w:r>
        <w:rPr>
          <w:rFonts w:ascii="仿宋_GB2312" w:eastAsia="仿宋_GB2312" w:hAnsi="仿宋_GB2312" w:cs="仿宋_GB2312" w:hint="eastAsia"/>
          <w:kern w:val="0"/>
          <w:sz w:val="32"/>
          <w:szCs w:val="32"/>
        </w:rPr>
        <w:t>分许，位于滨海新区太平镇远景二村的天津永生伟业建材有限公司露天成品堆场内发生一起高处坠落的亡人事故。死者张</w:t>
      </w:r>
      <w:proofErr w:type="gramStart"/>
      <w:r>
        <w:rPr>
          <w:rFonts w:ascii="仿宋_GB2312" w:eastAsia="仿宋_GB2312" w:hAnsi="仿宋_GB2312" w:cs="仿宋_GB2312" w:hint="eastAsia"/>
          <w:kern w:val="0"/>
          <w:sz w:val="32"/>
          <w:szCs w:val="32"/>
        </w:rPr>
        <w:t>玻</w:t>
      </w:r>
      <w:proofErr w:type="gramEnd"/>
      <w:r>
        <w:rPr>
          <w:rFonts w:ascii="仿宋_GB2312" w:eastAsia="仿宋_GB2312" w:hAnsi="仿宋_GB2312" w:cs="仿宋_GB2312" w:hint="eastAsia"/>
          <w:kern w:val="0"/>
          <w:sz w:val="32"/>
          <w:szCs w:val="32"/>
        </w:rPr>
        <w:t>（男，</w:t>
      </w:r>
      <w:r>
        <w:rPr>
          <w:rFonts w:ascii="仿宋_GB2312" w:eastAsia="仿宋_GB2312" w:hAnsi="仿宋_GB2312" w:cs="仿宋_GB2312" w:hint="eastAsia"/>
          <w:kern w:val="0"/>
          <w:sz w:val="32"/>
          <w:szCs w:val="32"/>
        </w:rPr>
        <w:t>39</w:t>
      </w:r>
      <w:r>
        <w:rPr>
          <w:rFonts w:ascii="仿宋_GB2312" w:eastAsia="仿宋_GB2312" w:hAnsi="仿宋_GB2312" w:cs="仿宋_GB2312" w:hint="eastAsia"/>
          <w:kern w:val="0"/>
          <w:sz w:val="32"/>
          <w:szCs w:val="32"/>
        </w:rPr>
        <w:t>岁，河南泌阳人，身份证号：</w:t>
      </w:r>
      <w:r>
        <w:rPr>
          <w:rFonts w:ascii="仿宋_GB2312" w:eastAsia="仿宋_GB2312" w:hAnsi="仿宋_GB2312" w:cs="仿宋_GB2312" w:hint="eastAsia"/>
          <w:kern w:val="0"/>
          <w:sz w:val="32"/>
          <w:szCs w:val="32"/>
        </w:rPr>
        <w:t>41282219841001</w:t>
      </w:r>
      <w:r>
        <w:rPr>
          <w:rFonts w:ascii="仿宋_GB2312" w:eastAsia="仿宋_GB2312" w:hAnsi="仿宋_GB2312" w:cs="仿宋_GB2312" w:hint="eastAsia"/>
          <w:kern w:val="0"/>
          <w:sz w:val="32"/>
          <w:szCs w:val="32"/>
        </w:rPr>
        <w:t>XXXX</w:t>
      </w:r>
      <w:r>
        <w:rPr>
          <w:rFonts w:ascii="仿宋_GB2312" w:eastAsia="仿宋_GB2312" w:hAnsi="仿宋_GB2312" w:cs="仿宋_GB2312" w:hint="eastAsia"/>
          <w:kern w:val="0"/>
          <w:sz w:val="32"/>
          <w:szCs w:val="32"/>
        </w:rPr>
        <w:t>），系天津永生伟业建材有限公司起重机司机，在翻越桥式起重机护栏和平台护栏时坠落（距离地面约</w:t>
      </w:r>
      <w:r>
        <w:rPr>
          <w:rFonts w:ascii="仿宋_GB2312" w:eastAsia="仿宋_GB2312" w:hAnsi="仿宋_GB2312" w:cs="仿宋_GB2312" w:hint="eastAsia"/>
          <w:kern w:val="0"/>
          <w:sz w:val="32"/>
          <w:szCs w:val="32"/>
        </w:rPr>
        <w:t>6</w:t>
      </w:r>
      <w:r>
        <w:rPr>
          <w:rFonts w:ascii="仿宋_GB2312" w:eastAsia="仿宋_GB2312" w:hAnsi="仿宋_GB2312" w:cs="仿宋_GB2312" w:hint="eastAsia"/>
          <w:kern w:val="0"/>
          <w:sz w:val="32"/>
          <w:szCs w:val="32"/>
        </w:rPr>
        <w:t>米），送医后不治身亡。直接经济损失</w:t>
      </w:r>
      <w:r>
        <w:rPr>
          <w:rFonts w:ascii="仿宋_GB2312" w:eastAsia="仿宋_GB2312" w:hAnsi="仿宋_GB2312" w:cs="仿宋_GB2312" w:hint="eastAsia"/>
          <w:kern w:val="0"/>
          <w:sz w:val="32"/>
          <w:szCs w:val="32"/>
        </w:rPr>
        <w:t>167.94</w:t>
      </w:r>
      <w:r>
        <w:rPr>
          <w:rFonts w:ascii="仿宋_GB2312" w:eastAsia="仿宋_GB2312" w:hAnsi="仿宋_GB2312" w:cs="仿宋_GB2312" w:hint="eastAsia"/>
          <w:kern w:val="0"/>
          <w:sz w:val="32"/>
          <w:szCs w:val="32"/>
        </w:rPr>
        <w:t>万元。</w:t>
      </w:r>
    </w:p>
    <w:p w:rsidR="00A57A86" w:rsidRDefault="0043390F">
      <w:pPr>
        <w:spacing w:line="620" w:lineRule="exact"/>
        <w:ind w:firstLineChars="200" w:firstLine="640"/>
        <w:rPr>
          <w:rFonts w:ascii="仿宋_GB2312" w:eastAsia="仿宋_GB2312" w:hAnsi="仿宋_GB2312" w:cs="仿宋_GB2312"/>
          <w:bCs/>
          <w:kern w:val="0"/>
          <w:sz w:val="32"/>
          <w:szCs w:val="32"/>
        </w:rPr>
      </w:pPr>
      <w:r>
        <w:rPr>
          <w:rFonts w:ascii="仿宋_GB2312" w:eastAsia="仿宋_GB2312" w:hAnsi="仿宋_GB2312" w:cs="仿宋_GB2312" w:hint="eastAsia"/>
          <w:kern w:val="0"/>
          <w:sz w:val="32"/>
          <w:szCs w:val="32"/>
        </w:rPr>
        <w:t>根据《中华人民共和国安全生产法》《中华人民共和国特种设备安全法》《特种设备事故报告和调查处理导则》等有关法律法规、规章规定，经报请滨海新区人民政府批准，成立了由区市场监管局、区应急局、区公安局、区总工会等部门组成的事故调查组，组织开展事故调查工作，</w:t>
      </w:r>
      <w:r>
        <w:rPr>
          <w:rFonts w:ascii="仿宋_GB2312" w:eastAsia="仿宋_GB2312" w:hAnsi="仿宋_GB2312" w:cs="仿宋_GB2312" w:hint="eastAsia"/>
          <w:bCs/>
          <w:kern w:val="0"/>
          <w:sz w:val="32"/>
          <w:szCs w:val="32"/>
        </w:rPr>
        <w:t>并形成《天津永生伟业建材有限公司“</w:t>
      </w:r>
      <w:r>
        <w:rPr>
          <w:rFonts w:ascii="仿宋_GB2312" w:eastAsia="仿宋_GB2312" w:hAnsi="仿宋_GB2312" w:cs="仿宋_GB2312" w:hint="eastAsia"/>
          <w:bCs/>
          <w:kern w:val="0"/>
          <w:sz w:val="32"/>
          <w:szCs w:val="32"/>
        </w:rPr>
        <w:t>5</w:t>
      </w:r>
      <w:r>
        <w:rPr>
          <w:rFonts w:ascii="宋体" w:hAnsi="宋体" w:cs="宋体" w:hint="eastAsia"/>
          <w:bCs/>
          <w:kern w:val="0"/>
          <w:sz w:val="32"/>
          <w:szCs w:val="32"/>
        </w:rPr>
        <w:t>•</w:t>
      </w:r>
      <w:r>
        <w:rPr>
          <w:rFonts w:ascii="仿宋_GB2312" w:eastAsia="仿宋_GB2312" w:hAnsi="仿宋_GB2312" w:cs="仿宋_GB2312" w:hint="eastAsia"/>
          <w:bCs/>
          <w:kern w:val="0"/>
          <w:sz w:val="32"/>
          <w:szCs w:val="32"/>
        </w:rPr>
        <w:t>29</w:t>
      </w:r>
      <w:r>
        <w:rPr>
          <w:rFonts w:ascii="仿宋_GB2312" w:eastAsia="仿宋_GB2312" w:hAnsi="仿宋_GB2312" w:cs="仿宋_GB2312" w:hint="eastAsia"/>
          <w:bCs/>
          <w:kern w:val="0"/>
          <w:sz w:val="32"/>
          <w:szCs w:val="32"/>
        </w:rPr>
        <w:t>”一般起重机械相关事故调查报告》（简称《事故调查报告》）。</w:t>
      </w:r>
      <w:r>
        <w:rPr>
          <w:rFonts w:ascii="仿宋_GB2312" w:eastAsia="仿宋_GB2312" w:hAnsi="仿宋_GB2312" w:cs="仿宋_GB2312" w:hint="eastAsia"/>
          <w:bCs/>
          <w:kern w:val="0"/>
          <w:sz w:val="32"/>
          <w:szCs w:val="32"/>
        </w:rPr>
        <w:t>2024</w:t>
      </w:r>
      <w:r>
        <w:rPr>
          <w:rFonts w:ascii="仿宋_GB2312" w:eastAsia="仿宋_GB2312" w:hAnsi="仿宋_GB2312" w:cs="仿宋_GB2312" w:hint="eastAsia"/>
          <w:bCs/>
          <w:kern w:val="0"/>
          <w:sz w:val="32"/>
          <w:szCs w:val="32"/>
        </w:rPr>
        <w:t>年</w:t>
      </w:r>
      <w:r>
        <w:rPr>
          <w:rFonts w:ascii="仿宋_GB2312" w:eastAsia="仿宋_GB2312" w:hAnsi="仿宋_GB2312" w:cs="仿宋_GB2312" w:hint="eastAsia"/>
          <w:bCs/>
          <w:kern w:val="0"/>
          <w:sz w:val="32"/>
          <w:szCs w:val="32"/>
        </w:rPr>
        <w:t>8</w:t>
      </w:r>
      <w:r>
        <w:rPr>
          <w:rFonts w:ascii="仿宋_GB2312" w:eastAsia="仿宋_GB2312" w:hAnsi="仿宋_GB2312" w:cs="仿宋_GB2312" w:hint="eastAsia"/>
          <w:bCs/>
          <w:kern w:val="0"/>
          <w:sz w:val="32"/>
          <w:szCs w:val="32"/>
        </w:rPr>
        <w:t>月</w:t>
      </w:r>
      <w:r>
        <w:rPr>
          <w:rFonts w:ascii="仿宋_GB2312" w:eastAsia="仿宋_GB2312" w:hAnsi="仿宋_GB2312" w:cs="仿宋_GB2312" w:hint="eastAsia"/>
          <w:bCs/>
          <w:kern w:val="0"/>
          <w:sz w:val="32"/>
          <w:szCs w:val="32"/>
        </w:rPr>
        <w:t>16</w:t>
      </w:r>
      <w:r>
        <w:rPr>
          <w:rFonts w:ascii="仿宋_GB2312" w:eastAsia="仿宋_GB2312" w:hAnsi="仿宋_GB2312" w:cs="仿宋_GB2312" w:hint="eastAsia"/>
          <w:bCs/>
          <w:kern w:val="0"/>
          <w:sz w:val="32"/>
          <w:szCs w:val="32"/>
        </w:rPr>
        <w:t>日，《事故调查报告》经天津市滨海新区人民政府批复同意。</w:t>
      </w:r>
    </w:p>
    <w:p w:rsidR="00A57A86" w:rsidRDefault="0043390F">
      <w:pPr>
        <w:spacing w:line="620" w:lineRule="exact"/>
        <w:ind w:firstLineChars="200" w:firstLine="640"/>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区市场监管局将《事故调查报告》</w:t>
      </w:r>
      <w:r>
        <w:rPr>
          <w:rFonts w:ascii="仿宋_GB2312" w:eastAsia="仿宋_GB2312" w:hint="eastAsia"/>
          <w:bCs/>
          <w:sz w:val="32"/>
          <w:szCs w:val="32"/>
        </w:rPr>
        <w:t>送达有关部门和事故单位，督促事故单位落实整改工作，该事故已于</w:t>
      </w:r>
      <w:r>
        <w:rPr>
          <w:rFonts w:ascii="仿宋_GB2312" w:eastAsia="仿宋_GB2312" w:hint="eastAsia"/>
          <w:bCs/>
          <w:sz w:val="32"/>
          <w:szCs w:val="32"/>
        </w:rPr>
        <w:t>2024</w:t>
      </w:r>
      <w:r>
        <w:rPr>
          <w:rFonts w:ascii="仿宋_GB2312" w:eastAsia="仿宋_GB2312" w:hint="eastAsia"/>
          <w:bCs/>
          <w:sz w:val="32"/>
          <w:szCs w:val="32"/>
        </w:rPr>
        <w:t>年</w:t>
      </w:r>
      <w:r>
        <w:rPr>
          <w:rFonts w:ascii="仿宋_GB2312" w:eastAsia="仿宋_GB2312" w:hint="eastAsia"/>
          <w:bCs/>
          <w:sz w:val="32"/>
          <w:szCs w:val="32"/>
        </w:rPr>
        <w:t>9</w:t>
      </w:r>
      <w:r>
        <w:rPr>
          <w:rFonts w:ascii="仿宋_GB2312" w:eastAsia="仿宋_GB2312" w:hint="eastAsia"/>
          <w:bCs/>
          <w:sz w:val="32"/>
          <w:szCs w:val="32"/>
        </w:rPr>
        <w:t>月</w:t>
      </w:r>
      <w:r>
        <w:rPr>
          <w:rFonts w:ascii="仿宋_GB2312" w:eastAsia="仿宋_GB2312" w:hint="eastAsia"/>
          <w:bCs/>
          <w:sz w:val="32"/>
          <w:szCs w:val="32"/>
        </w:rPr>
        <w:t>9</w:t>
      </w:r>
      <w:r>
        <w:rPr>
          <w:rFonts w:ascii="仿宋_GB2312" w:eastAsia="仿宋_GB2312" w:hint="eastAsia"/>
          <w:bCs/>
          <w:sz w:val="32"/>
          <w:szCs w:val="32"/>
        </w:rPr>
        <w:t>日结案。</w:t>
      </w:r>
    </w:p>
    <w:p w:rsidR="00A57A86" w:rsidRDefault="0043390F">
      <w:pPr>
        <w:spacing w:line="620" w:lineRule="exact"/>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根据《生产安全事故防范和整改措施落实情况评估办法》及《特种设备事故报告和调查处理导则》的规定，在事故结</w:t>
      </w:r>
      <w:r>
        <w:rPr>
          <w:rFonts w:ascii="仿宋_GB2312" w:eastAsia="仿宋_GB2312" w:hAnsi="仿宋_GB2312" w:cs="仿宋_GB2312" w:hint="eastAsia"/>
          <w:bCs/>
          <w:kern w:val="0"/>
          <w:sz w:val="32"/>
          <w:szCs w:val="32"/>
        </w:rPr>
        <w:lastRenderedPageBreak/>
        <w:t>案后</w:t>
      </w:r>
      <w:r>
        <w:rPr>
          <w:rFonts w:ascii="仿宋_GB2312" w:eastAsia="仿宋_GB2312" w:hAnsi="仿宋_GB2312" w:cs="仿宋_GB2312" w:hint="eastAsia"/>
          <w:bCs/>
          <w:kern w:val="0"/>
          <w:sz w:val="32"/>
          <w:szCs w:val="32"/>
        </w:rPr>
        <w:t>1</w:t>
      </w:r>
      <w:r>
        <w:rPr>
          <w:rFonts w:ascii="仿宋_GB2312" w:eastAsia="仿宋_GB2312" w:hAnsi="仿宋_GB2312" w:cs="仿宋_GB2312" w:hint="eastAsia"/>
          <w:bCs/>
          <w:kern w:val="0"/>
          <w:sz w:val="32"/>
          <w:szCs w:val="32"/>
        </w:rPr>
        <w:t>年内，应对事故单位开展事故评估工作。区市场监管局组织相关单位成立了事故结案评估组，于</w:t>
      </w:r>
      <w:r>
        <w:rPr>
          <w:rFonts w:ascii="仿宋_GB2312" w:eastAsia="仿宋_GB2312" w:hAnsi="仿宋_GB2312" w:cs="仿宋_GB2312" w:hint="eastAsia"/>
          <w:bCs/>
          <w:kern w:val="0"/>
          <w:sz w:val="32"/>
          <w:szCs w:val="32"/>
        </w:rPr>
        <w:t>2025</w:t>
      </w:r>
      <w:r>
        <w:rPr>
          <w:rFonts w:ascii="仿宋_GB2312" w:eastAsia="仿宋_GB2312" w:hAnsi="仿宋_GB2312" w:cs="仿宋_GB2312" w:hint="eastAsia"/>
          <w:bCs/>
          <w:kern w:val="0"/>
          <w:sz w:val="32"/>
          <w:szCs w:val="32"/>
        </w:rPr>
        <w:t>年</w:t>
      </w:r>
      <w:r>
        <w:rPr>
          <w:rFonts w:ascii="仿宋_GB2312" w:eastAsia="仿宋_GB2312" w:hAnsi="仿宋_GB2312" w:cs="仿宋_GB2312" w:hint="eastAsia"/>
          <w:bCs/>
          <w:kern w:val="0"/>
          <w:sz w:val="32"/>
          <w:szCs w:val="32"/>
        </w:rPr>
        <w:t>5</w:t>
      </w:r>
      <w:r>
        <w:rPr>
          <w:rFonts w:ascii="仿宋_GB2312" w:eastAsia="仿宋_GB2312" w:hAnsi="仿宋_GB2312" w:cs="仿宋_GB2312" w:hint="eastAsia"/>
          <w:bCs/>
          <w:kern w:val="0"/>
          <w:sz w:val="32"/>
          <w:szCs w:val="32"/>
        </w:rPr>
        <w:t>月</w:t>
      </w:r>
      <w:r>
        <w:rPr>
          <w:rFonts w:ascii="仿宋_GB2312" w:eastAsia="仿宋_GB2312" w:hAnsi="仿宋_GB2312" w:cs="仿宋_GB2312" w:hint="eastAsia"/>
          <w:bCs/>
          <w:kern w:val="0"/>
          <w:sz w:val="32"/>
          <w:szCs w:val="32"/>
        </w:rPr>
        <w:t>16</w:t>
      </w:r>
      <w:r>
        <w:rPr>
          <w:rFonts w:ascii="仿宋_GB2312" w:eastAsia="仿宋_GB2312" w:hAnsi="仿宋_GB2312" w:cs="仿宋_GB2312" w:hint="eastAsia"/>
          <w:bCs/>
          <w:kern w:val="0"/>
          <w:sz w:val="32"/>
          <w:szCs w:val="32"/>
        </w:rPr>
        <w:t>日对事故单位的责任追究、防范措施和整改落实情况等方面进行了评估，相关情况如下：</w:t>
      </w:r>
    </w:p>
    <w:p w:rsidR="00A57A86" w:rsidRDefault="0043390F">
      <w:pPr>
        <w:spacing w:line="620" w:lineRule="exact"/>
        <w:ind w:firstLineChars="200" w:firstLine="643"/>
        <w:jc w:val="left"/>
        <w:rPr>
          <w:rFonts w:ascii="黑体" w:eastAsia="黑体" w:hAnsi="黑体" w:cs="仿宋_GB2312"/>
          <w:b/>
          <w:bCs/>
          <w:sz w:val="32"/>
          <w:szCs w:val="24"/>
        </w:rPr>
      </w:pPr>
      <w:r>
        <w:rPr>
          <w:rFonts w:ascii="黑体" w:eastAsia="黑体" w:hAnsi="黑体" w:cs="仿宋_GB2312" w:hint="eastAsia"/>
          <w:b/>
          <w:bCs/>
          <w:sz w:val="32"/>
          <w:szCs w:val="24"/>
        </w:rPr>
        <w:t>一、事故责任单位责任追究落实情况</w:t>
      </w:r>
    </w:p>
    <w:p w:rsidR="00A57A86" w:rsidRDefault="0043390F">
      <w:pPr>
        <w:spacing w:line="620" w:lineRule="exact"/>
        <w:ind w:firstLineChars="200" w:firstLine="640"/>
        <w:rPr>
          <w:rFonts w:ascii="仿宋_GB2312" w:eastAsia="仿宋_GB2312" w:hAnsi="仿宋_GB2312" w:cs="仿宋_GB2312"/>
          <w:sz w:val="32"/>
          <w:szCs w:val="24"/>
        </w:rPr>
      </w:pPr>
      <w:r>
        <w:rPr>
          <w:rFonts w:ascii="仿宋_GB2312" w:eastAsia="仿宋_GB2312" w:hAnsi="仿宋_GB2312" w:cs="仿宋_GB2312" w:hint="eastAsia"/>
          <w:sz w:val="32"/>
          <w:szCs w:val="24"/>
        </w:rPr>
        <w:t>天津永生伟业建材有限公司（简称“永生伟业”）</w:t>
      </w:r>
    </w:p>
    <w:p w:rsidR="00A57A86" w:rsidRDefault="0043390F">
      <w:pPr>
        <w:spacing w:line="620" w:lineRule="exact"/>
        <w:ind w:firstLineChars="200" w:firstLine="640"/>
        <w:rPr>
          <w:rFonts w:ascii="仿宋_GB2312" w:eastAsia="仿宋_GB2312" w:hAnsi="仿宋_GB2312" w:cs="仿宋_GB2312"/>
          <w:b/>
          <w:bCs/>
          <w:sz w:val="32"/>
          <w:szCs w:val="24"/>
        </w:rPr>
      </w:pPr>
      <w:r>
        <w:rPr>
          <w:rFonts w:ascii="仿宋_GB2312" w:eastAsia="仿宋_GB2312" w:hAnsi="仿宋_GB2312" w:cs="仿宋_GB2312" w:hint="eastAsia"/>
          <w:sz w:val="32"/>
          <w:szCs w:val="24"/>
        </w:rPr>
        <w:t>《事故调查报告》建议由区市场监管局依据《中华人民共和国特</w:t>
      </w:r>
      <w:r>
        <w:rPr>
          <w:rFonts w:ascii="仿宋_GB2312" w:eastAsia="仿宋_GB2312" w:hAnsi="仿宋_GB2312" w:cs="仿宋_GB2312" w:hint="eastAsia"/>
          <w:sz w:val="32"/>
          <w:szCs w:val="24"/>
        </w:rPr>
        <w:t>种设备安全法》第九十条第（一）项之规定，</w:t>
      </w:r>
      <w:r>
        <w:rPr>
          <w:rFonts w:ascii="仿宋_GB2312" w:eastAsia="仿宋_GB2312" w:hAnsi="仿宋_GB2312" w:cs="仿宋_GB2312" w:hint="eastAsia"/>
          <w:b/>
          <w:bCs/>
          <w:sz w:val="32"/>
          <w:szCs w:val="24"/>
        </w:rPr>
        <w:t>对永生伟业进行行政处罚。</w:t>
      </w:r>
    </w:p>
    <w:p w:rsidR="00A57A86" w:rsidRDefault="0043390F">
      <w:pPr>
        <w:spacing w:line="620" w:lineRule="exact"/>
        <w:ind w:firstLineChars="200" w:firstLine="643"/>
        <w:rPr>
          <w:rFonts w:ascii="仿宋_GB2312" w:eastAsia="仿宋_GB2312" w:hAnsi="仿宋_GB2312" w:cs="仿宋_GB2312"/>
          <w:sz w:val="32"/>
          <w:szCs w:val="24"/>
        </w:rPr>
      </w:pPr>
      <w:r>
        <w:rPr>
          <w:rFonts w:ascii="仿宋_GB2312" w:eastAsia="仿宋_GB2312" w:hAnsi="仿宋_GB2312" w:cs="仿宋_GB2312" w:hint="eastAsia"/>
          <w:b/>
          <w:bCs/>
          <w:sz w:val="32"/>
          <w:szCs w:val="24"/>
        </w:rPr>
        <w:t>评估情况</w:t>
      </w:r>
      <w:r>
        <w:rPr>
          <w:rFonts w:ascii="仿宋_GB2312" w:eastAsia="仿宋_GB2312" w:hAnsi="仿宋_GB2312" w:cs="仿宋_GB2312" w:hint="eastAsia"/>
          <w:b/>
          <w:bCs/>
          <w:sz w:val="32"/>
          <w:szCs w:val="24"/>
        </w:rPr>
        <w:t>:</w:t>
      </w:r>
      <w:r>
        <w:rPr>
          <w:rFonts w:ascii="仿宋_GB2312" w:eastAsia="仿宋_GB2312" w:hAnsi="仿宋_GB2312" w:cs="仿宋_GB2312" w:hint="eastAsia"/>
          <w:sz w:val="32"/>
          <w:szCs w:val="24"/>
        </w:rPr>
        <w:t>区市场监管局依据《中华人民共和国特种设备安全法》相关规定，对永生伟业处以</w:t>
      </w:r>
      <w:r>
        <w:rPr>
          <w:rFonts w:ascii="仿宋_GB2312" w:eastAsia="仿宋_GB2312" w:hAnsi="仿宋_GB2312" w:cs="仿宋_GB2312" w:hint="eastAsia"/>
          <w:b/>
          <w:bCs/>
          <w:sz w:val="32"/>
          <w:szCs w:val="24"/>
        </w:rPr>
        <w:t>20</w:t>
      </w:r>
      <w:r>
        <w:rPr>
          <w:rFonts w:ascii="仿宋_GB2312" w:eastAsia="仿宋_GB2312" w:hAnsi="仿宋_GB2312" w:cs="仿宋_GB2312" w:hint="eastAsia"/>
          <w:b/>
          <w:bCs/>
          <w:sz w:val="32"/>
          <w:szCs w:val="24"/>
        </w:rPr>
        <w:t>万元人民币</w:t>
      </w:r>
      <w:r>
        <w:rPr>
          <w:rFonts w:ascii="仿宋_GB2312" w:eastAsia="仿宋_GB2312" w:hAnsi="仿宋_GB2312" w:cs="仿宋_GB2312" w:hint="eastAsia"/>
          <w:sz w:val="32"/>
          <w:szCs w:val="24"/>
        </w:rPr>
        <w:t>罚款，行政处罚决定书已下达，罚款已全额执行完毕，已结案。</w:t>
      </w:r>
    </w:p>
    <w:p w:rsidR="00A57A86" w:rsidRDefault="0043390F">
      <w:pPr>
        <w:spacing w:line="620" w:lineRule="exact"/>
        <w:ind w:firstLineChars="200" w:firstLine="643"/>
        <w:rPr>
          <w:rFonts w:ascii="黑体" w:eastAsia="黑体" w:hAnsi="黑体" w:cs="黑体"/>
          <w:b/>
          <w:bCs/>
          <w:sz w:val="32"/>
          <w:szCs w:val="24"/>
        </w:rPr>
      </w:pPr>
      <w:r>
        <w:rPr>
          <w:rFonts w:ascii="黑体" w:eastAsia="黑体" w:hAnsi="黑体" w:cs="黑体" w:hint="eastAsia"/>
          <w:b/>
          <w:bCs/>
          <w:sz w:val="32"/>
          <w:szCs w:val="24"/>
        </w:rPr>
        <w:t>二、事故责任人责任追究落实情况</w:t>
      </w:r>
    </w:p>
    <w:p w:rsidR="00A57A86" w:rsidRDefault="0043390F">
      <w:pPr>
        <w:spacing w:line="620" w:lineRule="exact"/>
        <w:ind w:firstLineChars="200" w:firstLine="640"/>
        <w:rPr>
          <w:rFonts w:ascii="楷体_GB2312" w:eastAsia="楷体_GB2312" w:hAnsi="仿宋_GB2312" w:cs="仿宋_GB2312"/>
          <w:sz w:val="32"/>
          <w:szCs w:val="24"/>
        </w:rPr>
      </w:pPr>
      <w:r>
        <w:rPr>
          <w:rFonts w:ascii="楷体_GB2312" w:eastAsia="楷体_GB2312" w:hAnsi="仿宋_GB2312" w:cs="仿宋_GB2312" w:hint="eastAsia"/>
          <w:sz w:val="32"/>
          <w:szCs w:val="24"/>
        </w:rPr>
        <w:t xml:space="preserve"> (</w:t>
      </w:r>
      <w:proofErr w:type="gramStart"/>
      <w:r>
        <w:rPr>
          <w:rFonts w:ascii="楷体_GB2312" w:eastAsia="楷体_GB2312" w:hAnsi="仿宋_GB2312" w:cs="仿宋_GB2312" w:hint="eastAsia"/>
          <w:sz w:val="32"/>
          <w:szCs w:val="24"/>
        </w:rPr>
        <w:t>一</w:t>
      </w:r>
      <w:proofErr w:type="gramEnd"/>
      <w:r>
        <w:rPr>
          <w:rFonts w:ascii="楷体_GB2312" w:eastAsia="楷体_GB2312" w:hAnsi="仿宋_GB2312" w:cs="仿宋_GB2312" w:hint="eastAsia"/>
          <w:sz w:val="32"/>
          <w:szCs w:val="24"/>
        </w:rPr>
        <w:t>)</w:t>
      </w:r>
      <w:r>
        <w:rPr>
          <w:rFonts w:hint="eastAsia"/>
        </w:rPr>
        <w:t xml:space="preserve"> </w:t>
      </w:r>
      <w:r>
        <w:rPr>
          <w:rFonts w:ascii="楷体_GB2312" w:eastAsia="楷体_GB2312" w:hAnsi="仿宋_GB2312" w:cs="仿宋_GB2312" w:hint="eastAsia"/>
          <w:sz w:val="32"/>
          <w:szCs w:val="24"/>
        </w:rPr>
        <w:t>刘状</w:t>
      </w:r>
    </w:p>
    <w:p w:rsidR="00A57A86" w:rsidRDefault="0043390F">
      <w:pPr>
        <w:spacing w:line="620" w:lineRule="exact"/>
        <w:ind w:firstLineChars="200" w:firstLine="640"/>
        <w:rPr>
          <w:rFonts w:ascii="仿宋_GB2312" w:eastAsia="仿宋_GB2312" w:hAnsi="仿宋_GB2312" w:cs="仿宋_GB2312"/>
          <w:sz w:val="32"/>
          <w:szCs w:val="24"/>
        </w:rPr>
      </w:pPr>
      <w:r>
        <w:rPr>
          <w:rFonts w:ascii="仿宋_GB2312" w:eastAsia="仿宋_GB2312" w:hAnsi="仿宋_GB2312" w:cs="仿宋_GB2312" w:hint="eastAsia"/>
          <w:sz w:val="32"/>
          <w:szCs w:val="24"/>
        </w:rPr>
        <w:t>《事故调查报告》建议区公安局依法对其追究刑事责任。</w:t>
      </w:r>
    </w:p>
    <w:p w:rsidR="00A57A86" w:rsidRDefault="0043390F">
      <w:pPr>
        <w:spacing w:line="620" w:lineRule="exact"/>
        <w:ind w:firstLineChars="200" w:firstLine="643"/>
        <w:rPr>
          <w:rFonts w:ascii="仿宋_GB2312" w:eastAsia="仿宋_GB2312" w:hAnsi="仿宋_GB2312" w:cs="仿宋_GB2312"/>
          <w:sz w:val="32"/>
          <w:szCs w:val="24"/>
        </w:rPr>
      </w:pPr>
      <w:r>
        <w:rPr>
          <w:rFonts w:ascii="仿宋_GB2312" w:eastAsia="仿宋_GB2312" w:hAnsi="仿宋_GB2312" w:cs="仿宋_GB2312" w:hint="eastAsia"/>
          <w:b/>
          <w:bCs/>
          <w:sz w:val="32"/>
          <w:szCs w:val="24"/>
        </w:rPr>
        <w:t>评估情况：</w:t>
      </w:r>
      <w:r>
        <w:rPr>
          <w:rFonts w:ascii="仿宋_GB2312" w:eastAsia="仿宋_GB2312" w:hAnsi="仿宋_GB2312" w:cs="仿宋_GB2312" w:hint="eastAsia"/>
          <w:sz w:val="32"/>
          <w:szCs w:val="24"/>
        </w:rPr>
        <w:t>天津市滨海新区人民法院于</w:t>
      </w:r>
      <w:r>
        <w:rPr>
          <w:rFonts w:ascii="仿宋_GB2312" w:eastAsia="仿宋_GB2312" w:hAnsi="仿宋_GB2312" w:cs="仿宋_GB2312" w:hint="eastAsia"/>
          <w:sz w:val="32"/>
          <w:szCs w:val="24"/>
        </w:rPr>
        <w:t>2025</w:t>
      </w:r>
      <w:r>
        <w:rPr>
          <w:rFonts w:ascii="仿宋_GB2312" w:eastAsia="仿宋_GB2312" w:hAnsi="仿宋_GB2312" w:cs="仿宋_GB2312" w:hint="eastAsia"/>
          <w:sz w:val="32"/>
          <w:szCs w:val="24"/>
        </w:rPr>
        <w:t>年</w:t>
      </w:r>
      <w:r>
        <w:rPr>
          <w:rFonts w:ascii="仿宋_GB2312" w:eastAsia="仿宋_GB2312" w:hAnsi="仿宋_GB2312" w:cs="仿宋_GB2312" w:hint="eastAsia"/>
          <w:sz w:val="32"/>
          <w:szCs w:val="24"/>
        </w:rPr>
        <w:t>3</w:t>
      </w:r>
      <w:r>
        <w:rPr>
          <w:rFonts w:ascii="仿宋_GB2312" w:eastAsia="仿宋_GB2312" w:hAnsi="仿宋_GB2312" w:cs="仿宋_GB2312" w:hint="eastAsia"/>
          <w:sz w:val="32"/>
          <w:szCs w:val="24"/>
        </w:rPr>
        <w:t>月</w:t>
      </w:r>
      <w:r>
        <w:rPr>
          <w:rFonts w:ascii="仿宋_GB2312" w:eastAsia="仿宋_GB2312" w:hAnsi="仿宋_GB2312" w:cs="仿宋_GB2312" w:hint="eastAsia"/>
          <w:sz w:val="32"/>
          <w:szCs w:val="24"/>
        </w:rPr>
        <w:t>21</w:t>
      </w:r>
      <w:r>
        <w:rPr>
          <w:rFonts w:ascii="仿宋_GB2312" w:eastAsia="仿宋_GB2312" w:hAnsi="仿宋_GB2312" w:cs="仿宋_GB2312" w:hint="eastAsia"/>
          <w:sz w:val="32"/>
          <w:szCs w:val="24"/>
        </w:rPr>
        <w:t>日下达《天津市滨海新区人民法院刑事判决书》，判决如下：“被告人刘状犯重大责任事故罪，判处有期徒刑十个月，缓刑一年。在缓刑考验期间内，依法实行社区矫正”。目前</w:t>
      </w:r>
      <w:proofErr w:type="gramStart"/>
      <w:r>
        <w:rPr>
          <w:rFonts w:ascii="仿宋_GB2312" w:eastAsia="仿宋_GB2312" w:hAnsi="仿宋_GB2312" w:cs="仿宋_GB2312" w:hint="eastAsia"/>
          <w:sz w:val="32"/>
          <w:szCs w:val="24"/>
        </w:rPr>
        <w:t>刘状正在</w:t>
      </w:r>
      <w:proofErr w:type="gramEnd"/>
      <w:r>
        <w:rPr>
          <w:rFonts w:ascii="仿宋_GB2312" w:eastAsia="仿宋_GB2312" w:hAnsi="仿宋_GB2312" w:cs="仿宋_GB2312" w:hint="eastAsia"/>
          <w:sz w:val="32"/>
          <w:szCs w:val="24"/>
        </w:rPr>
        <w:t>执行法院判决。</w:t>
      </w:r>
    </w:p>
    <w:p w:rsidR="00A57A86" w:rsidRDefault="0043390F">
      <w:pPr>
        <w:spacing w:line="620" w:lineRule="exact"/>
        <w:ind w:firstLineChars="200" w:firstLine="640"/>
        <w:rPr>
          <w:rFonts w:ascii="楷体_GB2312" w:eastAsia="楷体_GB2312" w:hAnsi="仿宋_GB2312" w:cs="仿宋_GB2312"/>
          <w:sz w:val="32"/>
          <w:szCs w:val="24"/>
        </w:rPr>
      </w:pPr>
      <w:r>
        <w:rPr>
          <w:rFonts w:ascii="楷体_GB2312" w:eastAsia="楷体_GB2312" w:hAnsi="仿宋_GB2312" w:cs="仿宋_GB2312" w:hint="eastAsia"/>
          <w:sz w:val="32"/>
          <w:szCs w:val="24"/>
        </w:rPr>
        <w:t>(</w:t>
      </w:r>
      <w:r>
        <w:rPr>
          <w:rFonts w:ascii="楷体_GB2312" w:eastAsia="楷体_GB2312" w:hAnsi="仿宋_GB2312" w:cs="仿宋_GB2312" w:hint="eastAsia"/>
          <w:sz w:val="32"/>
          <w:szCs w:val="24"/>
        </w:rPr>
        <w:t>二</w:t>
      </w:r>
      <w:r>
        <w:rPr>
          <w:rFonts w:ascii="楷体_GB2312" w:eastAsia="楷体_GB2312" w:hAnsi="仿宋_GB2312" w:cs="仿宋_GB2312" w:hint="eastAsia"/>
          <w:sz w:val="32"/>
          <w:szCs w:val="24"/>
        </w:rPr>
        <w:t>)</w:t>
      </w:r>
      <w:r>
        <w:rPr>
          <w:rFonts w:hint="eastAsia"/>
        </w:rPr>
        <w:t xml:space="preserve"> </w:t>
      </w:r>
      <w:r>
        <w:rPr>
          <w:rFonts w:ascii="楷体_GB2312" w:eastAsia="楷体_GB2312" w:hAnsi="仿宋_GB2312" w:cs="仿宋_GB2312" w:hint="eastAsia"/>
          <w:sz w:val="32"/>
          <w:szCs w:val="24"/>
        </w:rPr>
        <w:t>杜文辉</w:t>
      </w:r>
    </w:p>
    <w:p w:rsidR="00A57A86" w:rsidRDefault="0043390F">
      <w:pPr>
        <w:spacing w:line="620" w:lineRule="exact"/>
        <w:ind w:firstLineChars="200" w:firstLine="640"/>
        <w:rPr>
          <w:rFonts w:ascii="仿宋_GB2312" w:eastAsia="仿宋_GB2312" w:hAnsi="仿宋_GB2312" w:cs="仿宋_GB2312"/>
          <w:sz w:val="32"/>
          <w:szCs w:val="24"/>
        </w:rPr>
      </w:pPr>
      <w:r>
        <w:rPr>
          <w:rFonts w:ascii="仿宋_GB2312" w:eastAsia="仿宋_GB2312" w:hAnsi="仿宋_GB2312" w:cs="仿宋_GB2312" w:hint="eastAsia"/>
          <w:sz w:val="32"/>
          <w:szCs w:val="24"/>
        </w:rPr>
        <w:t>《事故调查报告》建议区公安局依法对其追究刑事责任。</w:t>
      </w:r>
    </w:p>
    <w:p w:rsidR="00A57A86" w:rsidRDefault="0043390F">
      <w:pPr>
        <w:pStyle w:val="2"/>
        <w:ind w:leftChars="0" w:left="0" w:firstLine="643"/>
        <w:rPr>
          <w:rFonts w:ascii="仿宋_GB2312" w:eastAsia="仿宋_GB2312" w:hAnsi="仿宋_GB2312" w:cs="仿宋_GB2312"/>
          <w:bCs/>
          <w:sz w:val="32"/>
          <w:szCs w:val="24"/>
        </w:rPr>
      </w:pPr>
      <w:r>
        <w:rPr>
          <w:rFonts w:ascii="仿宋_GB2312" w:eastAsia="仿宋_GB2312" w:hAnsi="仿宋_GB2312" w:cs="仿宋_GB2312" w:hint="eastAsia"/>
          <w:b/>
          <w:bCs/>
          <w:sz w:val="32"/>
          <w:szCs w:val="24"/>
        </w:rPr>
        <w:lastRenderedPageBreak/>
        <w:t>评估情况：</w:t>
      </w:r>
      <w:r>
        <w:rPr>
          <w:rFonts w:ascii="仿宋_GB2312" w:eastAsia="仿宋_GB2312" w:hAnsi="仿宋_GB2312" w:cs="仿宋_GB2312" w:hint="eastAsia"/>
          <w:bCs/>
          <w:sz w:val="32"/>
          <w:szCs w:val="24"/>
        </w:rPr>
        <w:t>天津市滨海新区人民法院于</w:t>
      </w:r>
      <w:r>
        <w:rPr>
          <w:rFonts w:ascii="仿宋_GB2312" w:eastAsia="仿宋_GB2312" w:hAnsi="仿宋_GB2312" w:cs="仿宋_GB2312" w:hint="eastAsia"/>
          <w:bCs/>
          <w:sz w:val="32"/>
          <w:szCs w:val="24"/>
        </w:rPr>
        <w:t>2025</w:t>
      </w:r>
      <w:r>
        <w:rPr>
          <w:rFonts w:ascii="仿宋_GB2312" w:eastAsia="仿宋_GB2312" w:hAnsi="仿宋_GB2312" w:cs="仿宋_GB2312" w:hint="eastAsia"/>
          <w:bCs/>
          <w:sz w:val="32"/>
          <w:szCs w:val="24"/>
        </w:rPr>
        <w:t>年</w:t>
      </w:r>
      <w:r>
        <w:rPr>
          <w:rFonts w:ascii="仿宋_GB2312" w:eastAsia="仿宋_GB2312" w:hAnsi="仿宋_GB2312" w:cs="仿宋_GB2312" w:hint="eastAsia"/>
          <w:bCs/>
          <w:sz w:val="32"/>
          <w:szCs w:val="24"/>
        </w:rPr>
        <w:t>3</w:t>
      </w:r>
      <w:r>
        <w:rPr>
          <w:rFonts w:ascii="仿宋_GB2312" w:eastAsia="仿宋_GB2312" w:hAnsi="仿宋_GB2312" w:cs="仿宋_GB2312" w:hint="eastAsia"/>
          <w:bCs/>
          <w:sz w:val="32"/>
          <w:szCs w:val="24"/>
        </w:rPr>
        <w:t>月</w:t>
      </w:r>
      <w:r>
        <w:rPr>
          <w:rFonts w:ascii="仿宋_GB2312" w:eastAsia="仿宋_GB2312" w:hAnsi="仿宋_GB2312" w:cs="仿宋_GB2312" w:hint="eastAsia"/>
          <w:bCs/>
          <w:sz w:val="32"/>
          <w:szCs w:val="24"/>
        </w:rPr>
        <w:t>21</w:t>
      </w:r>
      <w:r>
        <w:rPr>
          <w:rFonts w:ascii="仿宋_GB2312" w:eastAsia="仿宋_GB2312" w:hAnsi="仿宋_GB2312" w:cs="仿宋_GB2312" w:hint="eastAsia"/>
          <w:bCs/>
          <w:sz w:val="32"/>
          <w:szCs w:val="24"/>
        </w:rPr>
        <w:t>日下达《天津市滨海新区人民法院刑事判决书》，判决如下：“被告人杜文辉犯重大责任事故罪，判处有期徒刑八个月，缓刑一年。在缓刑考验期间内，依法实行社区矫正”。目前杜文辉正在执</w:t>
      </w:r>
      <w:r>
        <w:rPr>
          <w:rFonts w:ascii="仿宋_GB2312" w:eastAsia="仿宋_GB2312" w:hAnsi="仿宋_GB2312" w:cs="仿宋_GB2312" w:hint="eastAsia"/>
          <w:bCs/>
          <w:sz w:val="32"/>
          <w:szCs w:val="24"/>
        </w:rPr>
        <w:t>行法院判决。</w:t>
      </w:r>
    </w:p>
    <w:p w:rsidR="00A57A86" w:rsidRDefault="0043390F">
      <w:pPr>
        <w:pStyle w:val="20"/>
        <w:spacing w:line="620" w:lineRule="exact"/>
        <w:ind w:leftChars="0" w:left="0" w:firstLineChars="200" w:firstLine="640"/>
        <w:jc w:val="both"/>
        <w:rPr>
          <w:rFonts w:ascii="仿宋_GB2312" w:eastAsia="仿宋_GB2312" w:hAnsi="仿宋_GB2312" w:cs="仿宋_GB2312"/>
          <w:b/>
          <w:bCs/>
          <w:color w:val="000000" w:themeColor="text1"/>
          <w:sz w:val="32"/>
          <w:szCs w:val="32"/>
        </w:rPr>
      </w:pPr>
      <w:r>
        <w:rPr>
          <w:rFonts w:ascii="楷体_GB2312" w:eastAsia="楷体_GB2312" w:hAnsi="仿宋_GB2312" w:cs="仿宋_GB2312" w:hint="eastAsia"/>
          <w:sz w:val="32"/>
          <w:szCs w:val="24"/>
        </w:rPr>
        <w:t>(</w:t>
      </w:r>
      <w:r>
        <w:rPr>
          <w:rFonts w:ascii="楷体_GB2312" w:eastAsia="楷体_GB2312" w:hAnsi="仿宋_GB2312" w:cs="仿宋_GB2312" w:hint="eastAsia"/>
          <w:sz w:val="32"/>
          <w:szCs w:val="24"/>
        </w:rPr>
        <w:t>三</w:t>
      </w:r>
      <w:r>
        <w:rPr>
          <w:rFonts w:ascii="楷体_GB2312" w:eastAsia="楷体_GB2312" w:hAnsi="仿宋_GB2312" w:cs="仿宋_GB2312" w:hint="eastAsia"/>
          <w:sz w:val="32"/>
          <w:szCs w:val="24"/>
        </w:rPr>
        <w:t>)</w:t>
      </w:r>
      <w:r>
        <w:rPr>
          <w:rFonts w:hint="eastAsia"/>
        </w:rPr>
        <w:t xml:space="preserve"> </w:t>
      </w:r>
      <w:r>
        <w:rPr>
          <w:rFonts w:ascii="楷体" w:eastAsia="楷体" w:hAnsi="楷体" w:cs="仿宋_GB2312" w:hint="eastAsia"/>
          <w:bCs/>
          <w:color w:val="000000" w:themeColor="text1"/>
          <w:sz w:val="32"/>
          <w:szCs w:val="32"/>
        </w:rPr>
        <w:t>吴秀敏</w:t>
      </w:r>
    </w:p>
    <w:p w:rsidR="00A57A86" w:rsidRDefault="0043390F">
      <w:pPr>
        <w:spacing w:line="620" w:lineRule="exact"/>
        <w:ind w:firstLineChars="200" w:firstLine="640"/>
        <w:rPr>
          <w:rFonts w:ascii="仿宋_GB2312" w:eastAsia="仿宋_GB2312" w:hAnsi="仿宋_GB2312" w:cs="仿宋_GB2312"/>
          <w:sz w:val="32"/>
          <w:szCs w:val="24"/>
        </w:rPr>
      </w:pPr>
      <w:r>
        <w:rPr>
          <w:rFonts w:ascii="仿宋_GB2312" w:eastAsia="仿宋_GB2312" w:hAnsi="仿宋_GB2312" w:cs="仿宋_GB2312" w:hint="eastAsia"/>
          <w:sz w:val="32"/>
          <w:szCs w:val="24"/>
        </w:rPr>
        <w:t>《事故调查报告》建议由区市场监管局依据《中华人民共和国特种设备安全法》第九十一条第（一）项之规定，</w:t>
      </w:r>
      <w:r>
        <w:rPr>
          <w:rFonts w:ascii="仿宋_GB2312" w:eastAsia="仿宋_GB2312" w:hAnsi="仿宋_GB2312" w:cs="仿宋_GB2312" w:hint="eastAsia"/>
          <w:b/>
          <w:bCs/>
          <w:sz w:val="32"/>
          <w:szCs w:val="24"/>
        </w:rPr>
        <w:t>对永生伟业法定代表人吴秀</w:t>
      </w:r>
      <w:proofErr w:type="gramStart"/>
      <w:r>
        <w:rPr>
          <w:rFonts w:ascii="仿宋_GB2312" w:eastAsia="仿宋_GB2312" w:hAnsi="仿宋_GB2312" w:cs="仿宋_GB2312" w:hint="eastAsia"/>
          <w:b/>
          <w:bCs/>
          <w:sz w:val="32"/>
          <w:szCs w:val="24"/>
        </w:rPr>
        <w:t>敏进行</w:t>
      </w:r>
      <w:proofErr w:type="gramEnd"/>
      <w:r>
        <w:rPr>
          <w:rFonts w:ascii="仿宋_GB2312" w:eastAsia="仿宋_GB2312" w:hAnsi="仿宋_GB2312" w:cs="仿宋_GB2312" w:hint="eastAsia"/>
          <w:b/>
          <w:bCs/>
          <w:sz w:val="32"/>
          <w:szCs w:val="24"/>
        </w:rPr>
        <w:t>行政处罚。</w:t>
      </w:r>
    </w:p>
    <w:p w:rsidR="00A57A86" w:rsidRDefault="0043390F">
      <w:pPr>
        <w:spacing w:line="620" w:lineRule="exact"/>
        <w:ind w:firstLineChars="200" w:firstLine="643"/>
        <w:rPr>
          <w:rFonts w:ascii="仿宋_GB2312" w:eastAsia="仿宋_GB2312" w:hAnsi="仿宋_GB2312" w:cs="仿宋_GB2312"/>
          <w:sz w:val="32"/>
          <w:szCs w:val="24"/>
        </w:rPr>
      </w:pPr>
      <w:r>
        <w:rPr>
          <w:rFonts w:ascii="仿宋_GB2312" w:eastAsia="仿宋_GB2312" w:hAnsi="仿宋_GB2312" w:cs="仿宋_GB2312" w:hint="eastAsia"/>
          <w:b/>
          <w:bCs/>
          <w:sz w:val="32"/>
          <w:szCs w:val="24"/>
        </w:rPr>
        <w:t>评估情况</w:t>
      </w:r>
      <w:r>
        <w:rPr>
          <w:rFonts w:ascii="仿宋_GB2312" w:eastAsia="仿宋_GB2312" w:hAnsi="仿宋_GB2312" w:cs="仿宋_GB2312" w:hint="eastAsia"/>
          <w:b/>
          <w:bCs/>
          <w:sz w:val="32"/>
          <w:szCs w:val="24"/>
        </w:rPr>
        <w:t>:</w:t>
      </w:r>
      <w:r>
        <w:rPr>
          <w:rFonts w:ascii="仿宋_GB2312" w:eastAsia="仿宋_GB2312" w:hAnsi="仿宋_GB2312" w:cs="仿宋_GB2312" w:hint="eastAsia"/>
          <w:sz w:val="32"/>
          <w:szCs w:val="24"/>
        </w:rPr>
        <w:t xml:space="preserve"> </w:t>
      </w:r>
      <w:r>
        <w:rPr>
          <w:rFonts w:ascii="仿宋_GB2312" w:eastAsia="仿宋_GB2312" w:hAnsi="仿宋_GB2312" w:cs="仿宋_GB2312" w:hint="eastAsia"/>
          <w:sz w:val="32"/>
          <w:szCs w:val="24"/>
        </w:rPr>
        <w:t>吴秀敏</w:t>
      </w:r>
      <w:r>
        <w:rPr>
          <w:rFonts w:ascii="仿宋_GB2312" w:eastAsia="仿宋_GB2312" w:hAnsi="仿宋_GB2312" w:cs="仿宋_GB2312" w:hint="eastAsia"/>
          <w:sz w:val="32"/>
          <w:szCs w:val="24"/>
        </w:rPr>
        <w:t>2023</w:t>
      </w:r>
      <w:r>
        <w:rPr>
          <w:rFonts w:ascii="仿宋_GB2312" w:eastAsia="仿宋_GB2312" w:hAnsi="仿宋_GB2312" w:cs="仿宋_GB2312" w:hint="eastAsia"/>
          <w:sz w:val="32"/>
          <w:szCs w:val="24"/>
        </w:rPr>
        <w:t>年度未在永生伟业取得收入，区市场监管局决定对其不予罚款，行政处罚决定书已下达</w:t>
      </w:r>
      <w:r>
        <w:rPr>
          <w:rFonts w:ascii="仿宋_GB2312" w:eastAsia="仿宋_GB2312" w:hAnsi="仿宋_GB2312" w:cs="仿宋_GB2312" w:hint="eastAsia"/>
          <w:sz w:val="32"/>
          <w:szCs w:val="24"/>
        </w:rPr>
        <w:t>,</w:t>
      </w:r>
      <w:r>
        <w:rPr>
          <w:rFonts w:ascii="仿宋_GB2312" w:eastAsia="仿宋_GB2312" w:hAnsi="仿宋_GB2312" w:cs="仿宋_GB2312" w:hint="eastAsia"/>
          <w:sz w:val="32"/>
          <w:szCs w:val="24"/>
        </w:rPr>
        <w:t>已结案。</w:t>
      </w:r>
    </w:p>
    <w:p w:rsidR="00A57A86" w:rsidRDefault="0043390F">
      <w:pPr>
        <w:spacing w:line="620" w:lineRule="exact"/>
        <w:ind w:firstLineChars="250" w:firstLine="800"/>
        <w:rPr>
          <w:rFonts w:ascii="楷体_GB2312" w:eastAsia="楷体_GB2312" w:hAnsi="仿宋_GB2312" w:cs="仿宋_GB2312"/>
          <w:sz w:val="32"/>
          <w:szCs w:val="24"/>
        </w:rPr>
      </w:pPr>
      <w:r>
        <w:rPr>
          <w:rFonts w:ascii="楷体_GB2312" w:eastAsia="楷体_GB2312" w:hAnsi="仿宋_GB2312" w:cs="仿宋_GB2312" w:hint="eastAsia"/>
          <w:sz w:val="32"/>
          <w:szCs w:val="24"/>
        </w:rPr>
        <w:t>(</w:t>
      </w:r>
      <w:r>
        <w:rPr>
          <w:rFonts w:ascii="楷体_GB2312" w:eastAsia="楷体_GB2312" w:hAnsi="仿宋_GB2312" w:cs="仿宋_GB2312" w:hint="eastAsia"/>
          <w:sz w:val="32"/>
          <w:szCs w:val="24"/>
        </w:rPr>
        <w:t>四</w:t>
      </w:r>
      <w:r>
        <w:rPr>
          <w:rFonts w:ascii="楷体_GB2312" w:eastAsia="楷体_GB2312" w:hAnsi="仿宋_GB2312" w:cs="仿宋_GB2312" w:hint="eastAsia"/>
          <w:sz w:val="32"/>
          <w:szCs w:val="24"/>
        </w:rPr>
        <w:t>)</w:t>
      </w:r>
      <w:r>
        <w:rPr>
          <w:rFonts w:hint="eastAsia"/>
        </w:rPr>
        <w:t xml:space="preserve"> </w:t>
      </w:r>
      <w:r>
        <w:rPr>
          <w:rFonts w:ascii="楷体_GB2312" w:eastAsia="楷体_GB2312" w:hAnsi="仿宋_GB2312" w:cs="仿宋_GB2312" w:hint="eastAsia"/>
          <w:sz w:val="32"/>
          <w:szCs w:val="24"/>
        </w:rPr>
        <w:t>王珂</w:t>
      </w:r>
    </w:p>
    <w:p w:rsidR="00A57A86" w:rsidRDefault="0043390F">
      <w:pPr>
        <w:spacing w:line="620" w:lineRule="exact"/>
        <w:ind w:firstLineChars="200" w:firstLine="640"/>
        <w:rPr>
          <w:rFonts w:ascii="仿宋_GB2312" w:eastAsia="仿宋_GB2312" w:hAnsi="仿宋_GB2312" w:cs="仿宋_GB2312"/>
          <w:sz w:val="32"/>
          <w:szCs w:val="24"/>
        </w:rPr>
      </w:pPr>
      <w:r>
        <w:rPr>
          <w:rFonts w:ascii="仿宋_GB2312" w:eastAsia="仿宋_GB2312" w:hAnsi="仿宋_GB2312" w:cs="仿宋_GB2312" w:hint="eastAsia"/>
          <w:sz w:val="32"/>
          <w:szCs w:val="24"/>
        </w:rPr>
        <w:t>《事故调查报告》建议永生伟业内部对露天成品堆场班长王珂</w:t>
      </w:r>
      <w:proofErr w:type="gramStart"/>
      <w:r>
        <w:rPr>
          <w:rFonts w:ascii="仿宋_GB2312" w:eastAsia="仿宋_GB2312" w:hAnsi="仿宋_GB2312" w:cs="仿宋_GB2312" w:hint="eastAsia"/>
          <w:sz w:val="32"/>
          <w:szCs w:val="24"/>
        </w:rPr>
        <w:t>作出</w:t>
      </w:r>
      <w:proofErr w:type="gramEnd"/>
      <w:r>
        <w:rPr>
          <w:rFonts w:ascii="仿宋_GB2312" w:eastAsia="仿宋_GB2312" w:hAnsi="仿宋_GB2312" w:cs="仿宋_GB2312" w:hint="eastAsia"/>
          <w:sz w:val="32"/>
          <w:szCs w:val="24"/>
        </w:rPr>
        <w:t>处理。</w:t>
      </w:r>
    </w:p>
    <w:p w:rsidR="00A57A86" w:rsidRDefault="0043390F">
      <w:pPr>
        <w:spacing w:line="620" w:lineRule="exact"/>
        <w:ind w:firstLineChars="200" w:firstLine="643"/>
      </w:pPr>
      <w:r>
        <w:rPr>
          <w:rFonts w:ascii="仿宋_GB2312" w:eastAsia="仿宋_GB2312" w:hAnsi="仿宋_GB2312" w:cs="仿宋_GB2312" w:hint="eastAsia"/>
          <w:b/>
          <w:bCs/>
          <w:sz w:val="32"/>
          <w:szCs w:val="24"/>
        </w:rPr>
        <w:t>评估情况：</w:t>
      </w:r>
      <w:r>
        <w:rPr>
          <w:rFonts w:ascii="仿宋_GB2312" w:eastAsia="仿宋_GB2312" w:hAnsi="仿宋_GB2312" w:cs="仿宋_GB2312" w:hint="eastAsia"/>
          <w:sz w:val="32"/>
          <w:szCs w:val="24"/>
        </w:rPr>
        <w:t>永生伟业对王珂</w:t>
      </w:r>
      <w:proofErr w:type="gramStart"/>
      <w:r>
        <w:rPr>
          <w:rFonts w:ascii="仿宋_GB2312" w:eastAsia="仿宋_GB2312" w:hAnsi="仿宋_GB2312" w:cs="仿宋_GB2312" w:hint="eastAsia"/>
          <w:sz w:val="32"/>
          <w:szCs w:val="24"/>
        </w:rPr>
        <w:t>作出</w:t>
      </w:r>
      <w:proofErr w:type="gramEnd"/>
      <w:r>
        <w:rPr>
          <w:rFonts w:ascii="仿宋_GB2312" w:eastAsia="仿宋_GB2312" w:hAnsi="仿宋_GB2312" w:cs="仿宋_GB2312" w:hint="eastAsia"/>
          <w:sz w:val="32"/>
          <w:szCs w:val="24"/>
        </w:rPr>
        <w:t>严肃处理，在全厂范围内通报批评，罚款</w:t>
      </w:r>
      <w:r>
        <w:rPr>
          <w:rFonts w:ascii="仿宋_GB2312" w:eastAsia="仿宋_GB2312" w:hAnsi="仿宋_GB2312" w:cs="仿宋_GB2312" w:hint="eastAsia"/>
          <w:sz w:val="32"/>
          <w:szCs w:val="24"/>
        </w:rPr>
        <w:t>10000</w:t>
      </w:r>
      <w:r>
        <w:rPr>
          <w:rFonts w:ascii="仿宋_GB2312" w:eastAsia="仿宋_GB2312" w:hAnsi="仿宋_GB2312" w:cs="仿宋_GB2312" w:hint="eastAsia"/>
          <w:sz w:val="32"/>
          <w:szCs w:val="24"/>
        </w:rPr>
        <w:t>元人民币，已将处理结果报区市场监管局备案。</w:t>
      </w:r>
    </w:p>
    <w:p w:rsidR="00A57A86" w:rsidRDefault="0043390F">
      <w:pPr>
        <w:spacing w:line="620" w:lineRule="exact"/>
        <w:ind w:firstLineChars="200" w:firstLine="643"/>
        <w:rPr>
          <w:rFonts w:ascii="黑体" w:eastAsia="黑体" w:hAnsi="黑体" w:cs="仿宋_GB2312"/>
          <w:b/>
          <w:bCs/>
          <w:sz w:val="32"/>
          <w:szCs w:val="24"/>
        </w:rPr>
      </w:pPr>
      <w:r>
        <w:rPr>
          <w:rFonts w:ascii="黑体" w:eastAsia="黑体" w:hAnsi="黑体" w:cs="仿宋_GB2312" w:hint="eastAsia"/>
          <w:b/>
          <w:bCs/>
          <w:sz w:val="32"/>
          <w:szCs w:val="24"/>
        </w:rPr>
        <w:t>三、事故防范和整改措施落实情况</w:t>
      </w:r>
    </w:p>
    <w:p w:rsidR="00A57A86" w:rsidRDefault="0043390F">
      <w:pPr>
        <w:spacing w:line="620" w:lineRule="exact"/>
        <w:ind w:firstLineChars="200" w:firstLine="643"/>
        <w:rPr>
          <w:rFonts w:ascii="仿宋_GB2312" w:eastAsia="仿宋_GB2312" w:hAnsi="仿宋_GB2312" w:cs="仿宋_GB2312"/>
          <w:b/>
          <w:sz w:val="32"/>
          <w:szCs w:val="24"/>
        </w:rPr>
      </w:pPr>
      <w:r>
        <w:rPr>
          <w:rFonts w:ascii="仿宋_GB2312" w:eastAsia="仿宋_GB2312" w:hAnsi="仿宋_GB2312" w:cs="仿宋_GB2312" w:hint="eastAsia"/>
          <w:b/>
          <w:sz w:val="32"/>
          <w:szCs w:val="24"/>
        </w:rPr>
        <w:t>永生伟业</w:t>
      </w:r>
    </w:p>
    <w:p w:rsidR="00A57A86" w:rsidRDefault="0043390F">
      <w:pPr>
        <w:spacing w:line="620" w:lineRule="exact"/>
        <w:ind w:firstLineChars="200" w:firstLine="640"/>
        <w:rPr>
          <w:rFonts w:ascii="仿宋_GB2312" w:eastAsia="仿宋_GB2312" w:hAnsi="仿宋_GB2312" w:cs="仿宋_GB2312"/>
          <w:sz w:val="32"/>
          <w:szCs w:val="24"/>
        </w:rPr>
      </w:pPr>
      <w:r>
        <w:rPr>
          <w:rFonts w:ascii="仿宋_GB2312" w:eastAsia="仿宋_GB2312" w:hAnsi="仿宋_GB2312" w:cs="仿宋_GB2312" w:hint="eastAsia"/>
          <w:sz w:val="32"/>
          <w:szCs w:val="24"/>
        </w:rPr>
        <w:t>《事故调查报告》对永生伟业提出以下整改要求：</w:t>
      </w:r>
    </w:p>
    <w:p w:rsidR="00A57A86" w:rsidRDefault="0043390F">
      <w:pPr>
        <w:spacing w:line="620" w:lineRule="exact"/>
        <w:ind w:firstLineChars="200" w:firstLine="640"/>
        <w:rPr>
          <w:rFonts w:ascii="仿宋_GB2312" w:eastAsia="仿宋_GB2312" w:hAnsi="仿宋_GB2312" w:cs="仿宋_GB2312"/>
          <w:sz w:val="32"/>
          <w:szCs w:val="24"/>
        </w:rPr>
      </w:pPr>
      <w:r>
        <w:rPr>
          <w:rFonts w:ascii="楷体_GB2312" w:eastAsia="楷体_GB2312" w:hAnsi="楷体_GB2312" w:cs="楷体_GB2312" w:hint="eastAsia"/>
          <w:sz w:val="32"/>
          <w:szCs w:val="24"/>
        </w:rPr>
        <w:t>一、强化责任意识与法规落实</w:t>
      </w:r>
    </w:p>
    <w:p w:rsidR="00A57A86" w:rsidRDefault="0043390F">
      <w:pPr>
        <w:spacing w:line="620" w:lineRule="exact"/>
        <w:ind w:firstLineChars="200" w:firstLine="640"/>
        <w:rPr>
          <w:rFonts w:ascii="仿宋_GB2312" w:eastAsia="仿宋_GB2312" w:hAnsi="仿宋_GB2312" w:cs="仿宋_GB2312"/>
          <w:sz w:val="32"/>
          <w:szCs w:val="24"/>
        </w:rPr>
      </w:pPr>
      <w:r>
        <w:rPr>
          <w:rFonts w:ascii="仿宋_GB2312" w:eastAsia="仿宋_GB2312" w:hAnsi="仿宋_GB2312" w:cs="仿宋_GB2312" w:hint="eastAsia"/>
          <w:sz w:val="32"/>
          <w:szCs w:val="24"/>
        </w:rPr>
        <w:lastRenderedPageBreak/>
        <w:t>牢固树立安全生产红线意识，深入学习贯彻《中华人民共和国安全生产法》《中华人民共和国特种设备安全法》等法律法规；全面履行企业安全生产主体责任，举一反三，确保各项安全生产工作落实到位。</w:t>
      </w:r>
    </w:p>
    <w:p w:rsidR="00A57A86" w:rsidRDefault="0043390F">
      <w:pPr>
        <w:spacing w:line="620" w:lineRule="exact"/>
        <w:ind w:firstLineChars="200" w:firstLine="640"/>
        <w:rPr>
          <w:rFonts w:ascii="楷体_GB2312" w:eastAsia="楷体_GB2312" w:hAnsi="楷体_GB2312" w:cs="楷体_GB2312"/>
          <w:sz w:val="32"/>
          <w:szCs w:val="24"/>
        </w:rPr>
      </w:pPr>
      <w:r>
        <w:rPr>
          <w:rFonts w:ascii="楷体_GB2312" w:eastAsia="楷体_GB2312" w:hAnsi="楷体_GB2312" w:cs="楷体_GB2312" w:hint="eastAsia"/>
          <w:sz w:val="32"/>
          <w:szCs w:val="24"/>
        </w:rPr>
        <w:t>二、完善制度与资源保障</w:t>
      </w:r>
    </w:p>
    <w:p w:rsidR="00A57A86" w:rsidRDefault="0043390F">
      <w:pPr>
        <w:spacing w:line="620" w:lineRule="exact"/>
        <w:ind w:firstLineChars="200" w:firstLine="640"/>
        <w:rPr>
          <w:rFonts w:ascii="仿宋_GB2312" w:eastAsia="仿宋_GB2312" w:hAnsi="仿宋_GB2312" w:cs="仿宋_GB2312"/>
          <w:sz w:val="32"/>
          <w:szCs w:val="24"/>
        </w:rPr>
      </w:pPr>
      <w:r>
        <w:rPr>
          <w:rFonts w:ascii="仿宋_GB2312" w:eastAsia="仿宋_GB2312" w:hAnsi="仿宋_GB2312" w:cs="仿宋_GB2312" w:hint="eastAsia"/>
          <w:sz w:val="32"/>
          <w:szCs w:val="24"/>
        </w:rPr>
        <w:t>建立健全全员安全生产责任制和安全生产规章制度；加大安全生产投入，保障资金、物资、技术和人员配备；改善安全生产条件，严格执行各项安全生产制度，切实提高安全生产水平。</w:t>
      </w:r>
    </w:p>
    <w:p w:rsidR="00A57A86" w:rsidRDefault="0043390F">
      <w:pPr>
        <w:spacing w:line="620" w:lineRule="exact"/>
        <w:ind w:firstLineChars="200" w:firstLine="640"/>
        <w:rPr>
          <w:rFonts w:ascii="楷体_GB2312" w:eastAsia="楷体_GB2312" w:hAnsi="楷体_GB2312" w:cs="楷体_GB2312"/>
          <w:sz w:val="32"/>
          <w:szCs w:val="24"/>
        </w:rPr>
      </w:pPr>
      <w:r>
        <w:rPr>
          <w:rFonts w:ascii="楷体_GB2312" w:eastAsia="楷体_GB2312" w:hAnsi="楷体_GB2312" w:cs="楷体_GB2312" w:hint="eastAsia"/>
          <w:sz w:val="32"/>
          <w:szCs w:val="24"/>
        </w:rPr>
        <w:t>三、构建双重预防机制</w:t>
      </w:r>
    </w:p>
    <w:p w:rsidR="00A57A86" w:rsidRDefault="0043390F">
      <w:pPr>
        <w:spacing w:line="620" w:lineRule="exact"/>
        <w:ind w:firstLineChars="200" w:firstLine="640"/>
        <w:rPr>
          <w:rFonts w:ascii="仿宋_GB2312" w:eastAsia="仿宋_GB2312" w:hAnsi="仿宋_GB2312" w:cs="仿宋_GB2312"/>
          <w:sz w:val="32"/>
          <w:szCs w:val="24"/>
        </w:rPr>
      </w:pPr>
      <w:r>
        <w:rPr>
          <w:rFonts w:ascii="仿宋_GB2312" w:eastAsia="仿宋_GB2312" w:hAnsi="仿宋_GB2312" w:cs="仿宋_GB2312" w:hint="eastAsia"/>
          <w:sz w:val="32"/>
          <w:szCs w:val="24"/>
        </w:rPr>
        <w:t>建立安全风险分级管控和隐患排查治理机制；开展作业现场危险源辨识和风险评估，制定分级管控表；完善隐患排查制度，建立项目清单和治理档案，加强日常巡查记录；强化现场监管，及时整改安全隐患。</w:t>
      </w:r>
    </w:p>
    <w:p w:rsidR="00A57A86" w:rsidRDefault="0043390F">
      <w:pPr>
        <w:spacing w:line="620" w:lineRule="exact"/>
        <w:ind w:firstLineChars="200" w:firstLine="640"/>
        <w:rPr>
          <w:rFonts w:ascii="楷体_GB2312" w:eastAsia="楷体_GB2312" w:hAnsi="楷体_GB2312" w:cs="楷体_GB2312"/>
          <w:sz w:val="32"/>
          <w:szCs w:val="24"/>
        </w:rPr>
      </w:pPr>
      <w:r>
        <w:rPr>
          <w:rFonts w:ascii="楷体_GB2312" w:eastAsia="楷体_GB2312" w:hAnsi="楷体_GB2312" w:cs="楷体_GB2312" w:hint="eastAsia"/>
          <w:sz w:val="32"/>
          <w:szCs w:val="24"/>
        </w:rPr>
        <w:t>四、加强培训与劳动保护</w:t>
      </w:r>
    </w:p>
    <w:p w:rsidR="00A57A86" w:rsidRDefault="0043390F">
      <w:pPr>
        <w:spacing w:line="620" w:lineRule="exact"/>
        <w:ind w:firstLineChars="200" w:firstLine="640"/>
        <w:rPr>
          <w:rFonts w:ascii="仿宋_GB2312" w:eastAsia="仿宋_GB2312" w:hAnsi="仿宋_GB2312" w:cs="仿宋_GB2312"/>
          <w:sz w:val="32"/>
          <w:szCs w:val="24"/>
        </w:rPr>
      </w:pPr>
      <w:r>
        <w:rPr>
          <w:rFonts w:ascii="仿宋_GB2312" w:eastAsia="仿宋_GB2312" w:hAnsi="仿宋_GB2312" w:cs="仿宋_GB2312" w:hint="eastAsia"/>
          <w:sz w:val="32"/>
          <w:szCs w:val="24"/>
        </w:rPr>
        <w:t>健全安全教育培训机制，采用多样化培训形式；重点加强安全生产规章制度、操作规程和操作技能的培训；严格生产作业管理，规范配备并监督使用劳动防护用品。</w:t>
      </w:r>
    </w:p>
    <w:p w:rsidR="00A57A86" w:rsidRDefault="0043390F">
      <w:pPr>
        <w:spacing w:line="620" w:lineRule="exact"/>
        <w:ind w:firstLineChars="200" w:firstLine="640"/>
        <w:rPr>
          <w:rFonts w:ascii="楷体_GB2312" w:eastAsia="楷体_GB2312" w:hAnsi="楷体_GB2312" w:cs="楷体_GB2312"/>
          <w:sz w:val="32"/>
          <w:szCs w:val="24"/>
        </w:rPr>
      </w:pPr>
      <w:r>
        <w:rPr>
          <w:rFonts w:ascii="楷体_GB2312" w:eastAsia="楷体_GB2312" w:hAnsi="楷体_GB2312" w:cs="楷体_GB2312" w:hint="eastAsia"/>
          <w:sz w:val="32"/>
          <w:szCs w:val="24"/>
        </w:rPr>
        <w:t>五、完善特种设备安全管理体系</w:t>
      </w:r>
    </w:p>
    <w:p w:rsidR="00A57A86" w:rsidRDefault="0043390F">
      <w:pPr>
        <w:spacing w:line="620" w:lineRule="exact"/>
        <w:ind w:firstLineChars="200" w:firstLine="640"/>
        <w:rPr>
          <w:rFonts w:ascii="仿宋_GB2312" w:eastAsia="仿宋_GB2312" w:hAnsi="仿宋_GB2312" w:cs="仿宋_GB2312"/>
          <w:sz w:val="32"/>
          <w:szCs w:val="24"/>
        </w:rPr>
      </w:pPr>
      <w:r>
        <w:rPr>
          <w:rFonts w:ascii="仿宋_GB2312" w:eastAsia="仿宋_GB2312" w:hAnsi="仿宋_GB2312" w:cs="仿宋_GB2312" w:hint="eastAsia"/>
          <w:sz w:val="32"/>
          <w:szCs w:val="24"/>
        </w:rPr>
        <w:t>明确管理部门层级架构，贯彻执行特种设备有关法律、法规和安全技术规范及相关标准；加强特种设备作业人员管理，严禁无证作业；强化档案管</w:t>
      </w:r>
      <w:r>
        <w:rPr>
          <w:rFonts w:ascii="仿宋_GB2312" w:eastAsia="仿宋_GB2312" w:hAnsi="仿宋_GB2312" w:cs="仿宋_GB2312" w:hint="eastAsia"/>
          <w:sz w:val="32"/>
          <w:szCs w:val="24"/>
        </w:rPr>
        <w:t>理，逐台梳理特种设备档案，</w:t>
      </w:r>
      <w:r>
        <w:rPr>
          <w:rFonts w:ascii="仿宋_GB2312" w:eastAsia="仿宋_GB2312" w:hAnsi="仿宋_GB2312" w:cs="仿宋_GB2312" w:hint="eastAsia"/>
          <w:sz w:val="32"/>
          <w:szCs w:val="24"/>
        </w:rPr>
        <w:lastRenderedPageBreak/>
        <w:t>查漏补缺。</w:t>
      </w:r>
    </w:p>
    <w:p w:rsidR="00A57A86" w:rsidRDefault="0043390F">
      <w:pPr>
        <w:spacing w:line="620" w:lineRule="exact"/>
        <w:ind w:firstLineChars="200" w:firstLine="643"/>
        <w:rPr>
          <w:rFonts w:ascii="仿宋_GB2312" w:eastAsia="仿宋_GB2312" w:hAnsi="仿宋_GB2312" w:cs="仿宋_GB2312"/>
          <w:color w:val="000000" w:themeColor="text1"/>
          <w:sz w:val="32"/>
          <w:szCs w:val="24"/>
        </w:rPr>
      </w:pPr>
      <w:r>
        <w:rPr>
          <w:rFonts w:ascii="仿宋_GB2312" w:eastAsia="仿宋_GB2312" w:hAnsi="仿宋_GB2312" w:cs="仿宋_GB2312" w:hint="eastAsia"/>
          <w:b/>
          <w:bCs/>
          <w:sz w:val="32"/>
          <w:szCs w:val="24"/>
        </w:rPr>
        <w:t>评估情况</w:t>
      </w:r>
      <w:r>
        <w:rPr>
          <w:rFonts w:ascii="仿宋_GB2312" w:eastAsia="仿宋_GB2312" w:hAnsi="仿宋_GB2312" w:cs="仿宋_GB2312" w:hint="eastAsia"/>
          <w:b/>
          <w:bCs/>
          <w:sz w:val="32"/>
          <w:szCs w:val="24"/>
        </w:rPr>
        <w:t>:</w:t>
      </w:r>
      <w:r>
        <w:rPr>
          <w:rFonts w:ascii="仿宋_GB2312" w:eastAsia="仿宋_GB2312" w:hAnsi="仿宋_GB2312" w:cs="仿宋_GB2312" w:hint="eastAsia"/>
          <w:color w:val="000000" w:themeColor="text1"/>
          <w:sz w:val="32"/>
          <w:szCs w:val="24"/>
        </w:rPr>
        <w:t>事故发生后，永生伟业高度重视，深刻反思生产环节中存在的问题，并对相关责任人予以公司内部处理。公司组织全体员工深入学习相关法律法规，强化安全生产主体责任意识，同时采取以下整改措施：</w:t>
      </w:r>
    </w:p>
    <w:p w:rsidR="00A57A86" w:rsidRDefault="0043390F">
      <w:pPr>
        <w:spacing w:line="620" w:lineRule="exact"/>
        <w:ind w:firstLineChars="200" w:firstLine="640"/>
        <w:rPr>
          <w:rFonts w:ascii="楷体_GB2312" w:eastAsia="楷体_GB2312" w:hAnsi="楷体_GB2312" w:cs="楷体_GB2312"/>
          <w:color w:val="000000" w:themeColor="text1"/>
          <w:sz w:val="32"/>
          <w:szCs w:val="24"/>
        </w:rPr>
      </w:pPr>
      <w:r>
        <w:rPr>
          <w:rFonts w:ascii="楷体_GB2312" w:eastAsia="楷体_GB2312" w:hAnsi="楷体_GB2312" w:cs="楷体_GB2312" w:hint="eastAsia"/>
          <w:color w:val="000000" w:themeColor="text1"/>
          <w:sz w:val="32"/>
          <w:szCs w:val="24"/>
        </w:rPr>
        <w:t>（一）制度完善与责任落实</w:t>
      </w:r>
    </w:p>
    <w:p w:rsidR="00A57A86" w:rsidRDefault="0043390F">
      <w:pPr>
        <w:spacing w:line="620" w:lineRule="exact"/>
        <w:ind w:firstLineChars="200" w:firstLine="640"/>
        <w:rPr>
          <w:rFonts w:ascii="仿宋_GB2312" w:eastAsia="仿宋_GB2312" w:hAnsi="仿宋_GB2312" w:cs="仿宋_GB2312"/>
          <w:color w:val="000000" w:themeColor="text1"/>
          <w:sz w:val="32"/>
          <w:szCs w:val="24"/>
        </w:rPr>
      </w:pPr>
      <w:r>
        <w:rPr>
          <w:rFonts w:ascii="仿宋_GB2312" w:eastAsia="仿宋_GB2312" w:hAnsi="仿宋_GB2312" w:cs="仿宋_GB2312" w:hint="eastAsia"/>
          <w:color w:val="000000" w:themeColor="text1"/>
          <w:sz w:val="32"/>
          <w:szCs w:val="24"/>
        </w:rPr>
        <w:t>重新编制安全生产责任制度，明确各岗位职责，组织相关人员签订安全生产责任书；修订安全生产规章制度，优化安全生产区域规划，加强现场巡查力度；加大资金与资源保障力度，更新安全防护设备，确保安全生产。</w:t>
      </w:r>
    </w:p>
    <w:p w:rsidR="00A57A86" w:rsidRDefault="0043390F">
      <w:pPr>
        <w:spacing w:line="620" w:lineRule="exact"/>
        <w:ind w:firstLineChars="200" w:firstLine="640"/>
        <w:rPr>
          <w:rFonts w:ascii="楷体_GB2312" w:eastAsia="楷体_GB2312" w:hAnsi="楷体_GB2312" w:cs="楷体_GB2312"/>
          <w:color w:val="000000" w:themeColor="text1"/>
          <w:sz w:val="32"/>
          <w:szCs w:val="24"/>
        </w:rPr>
      </w:pPr>
      <w:r>
        <w:rPr>
          <w:rFonts w:ascii="楷体_GB2312" w:eastAsia="楷体_GB2312" w:hAnsi="楷体_GB2312" w:cs="楷体_GB2312" w:hint="eastAsia"/>
          <w:color w:val="000000" w:themeColor="text1"/>
          <w:sz w:val="32"/>
          <w:szCs w:val="24"/>
        </w:rPr>
        <w:t>（二）风险管控与隐患排查</w:t>
      </w:r>
    </w:p>
    <w:p w:rsidR="00A57A86" w:rsidRDefault="0043390F">
      <w:pPr>
        <w:spacing w:line="620" w:lineRule="exact"/>
        <w:ind w:firstLineChars="200" w:firstLine="640"/>
        <w:rPr>
          <w:rFonts w:ascii="仿宋_GB2312" w:eastAsia="仿宋_GB2312" w:hAnsi="仿宋_GB2312" w:cs="仿宋_GB2312"/>
          <w:color w:val="000000" w:themeColor="text1"/>
          <w:sz w:val="32"/>
          <w:szCs w:val="24"/>
        </w:rPr>
      </w:pPr>
      <w:r>
        <w:rPr>
          <w:rFonts w:ascii="仿宋_GB2312" w:eastAsia="仿宋_GB2312" w:hAnsi="仿宋_GB2312" w:cs="仿宋_GB2312" w:hint="eastAsia"/>
          <w:color w:val="000000" w:themeColor="text1"/>
          <w:sz w:val="32"/>
          <w:szCs w:val="24"/>
        </w:rPr>
        <w:t>开展安全风险辨识与分级管理，建立隐患排查治理制度；按照《安全生产领域举报奖励办法》制定事故隐患举报奖励制度并落实；制定危险源分级管控表、隐患排查项目清单及作业安全风险分级管控清单，并严格监督执行。</w:t>
      </w:r>
    </w:p>
    <w:p w:rsidR="00A57A86" w:rsidRDefault="0043390F">
      <w:pPr>
        <w:spacing w:line="620" w:lineRule="exact"/>
        <w:ind w:firstLineChars="200" w:firstLine="640"/>
        <w:rPr>
          <w:rFonts w:ascii="仿宋_GB2312" w:eastAsia="仿宋_GB2312" w:hAnsi="仿宋_GB2312" w:cs="仿宋_GB2312"/>
          <w:color w:val="000000" w:themeColor="text1"/>
          <w:sz w:val="32"/>
          <w:szCs w:val="24"/>
        </w:rPr>
      </w:pPr>
      <w:r>
        <w:rPr>
          <w:rFonts w:ascii="楷体_GB2312" w:eastAsia="楷体_GB2312" w:hAnsi="楷体_GB2312" w:cs="楷体_GB2312" w:hint="eastAsia"/>
          <w:color w:val="000000" w:themeColor="text1"/>
          <w:sz w:val="32"/>
          <w:szCs w:val="24"/>
        </w:rPr>
        <w:t>（三）培训与劳动保护</w:t>
      </w:r>
    </w:p>
    <w:p w:rsidR="00A57A86" w:rsidRDefault="0043390F">
      <w:pPr>
        <w:spacing w:line="620" w:lineRule="exact"/>
        <w:ind w:firstLineChars="200" w:firstLine="640"/>
        <w:rPr>
          <w:rFonts w:ascii="仿宋_GB2312" w:eastAsia="仿宋_GB2312" w:hAnsi="仿宋_GB2312" w:cs="仿宋_GB2312"/>
          <w:color w:val="000000" w:themeColor="text1"/>
          <w:sz w:val="32"/>
          <w:szCs w:val="24"/>
        </w:rPr>
      </w:pPr>
      <w:r>
        <w:rPr>
          <w:rFonts w:ascii="仿宋_GB2312" w:eastAsia="仿宋_GB2312" w:hAnsi="仿宋_GB2312" w:cs="仿宋_GB2312" w:hint="eastAsia"/>
          <w:color w:val="000000" w:themeColor="text1"/>
          <w:sz w:val="32"/>
          <w:szCs w:val="24"/>
        </w:rPr>
        <w:t>完善安全教育培训机制，制定年度培训计划，通过定期开展警示教育、专题讨论等形式，提升员工对安全生产规章制度及操作规程的掌握能力；足额配备劳保用品，并监督从业人员规范佩戴使用。</w:t>
      </w:r>
    </w:p>
    <w:p w:rsidR="00A57A86" w:rsidRDefault="0043390F">
      <w:pPr>
        <w:spacing w:line="620" w:lineRule="exact"/>
        <w:ind w:firstLineChars="200" w:firstLine="640"/>
        <w:rPr>
          <w:rFonts w:ascii="楷体_GB2312" w:eastAsia="楷体_GB2312" w:hAnsi="楷体_GB2312" w:cs="楷体_GB2312"/>
          <w:color w:val="000000" w:themeColor="text1"/>
          <w:sz w:val="32"/>
          <w:szCs w:val="24"/>
        </w:rPr>
      </w:pPr>
      <w:r>
        <w:rPr>
          <w:rFonts w:ascii="楷体_GB2312" w:eastAsia="楷体_GB2312" w:hAnsi="楷体_GB2312" w:cs="楷体_GB2312" w:hint="eastAsia"/>
          <w:color w:val="000000" w:themeColor="text1"/>
          <w:sz w:val="32"/>
          <w:szCs w:val="24"/>
        </w:rPr>
        <w:t>（四）加强特种设备安全管理</w:t>
      </w:r>
    </w:p>
    <w:p w:rsidR="00A57A86" w:rsidRDefault="0043390F">
      <w:pPr>
        <w:pStyle w:val="a4"/>
        <w:ind w:firstLine="640"/>
      </w:pPr>
      <w:r>
        <w:rPr>
          <w:rFonts w:hint="eastAsia"/>
        </w:rPr>
        <w:t>调整特种设备管理架构，根据《市场监督管理总局令第</w:t>
      </w:r>
      <w:r>
        <w:rPr>
          <w:rFonts w:hint="eastAsia"/>
        </w:rPr>
        <w:lastRenderedPageBreak/>
        <w:t xml:space="preserve">74 </w:t>
      </w:r>
      <w:r>
        <w:rPr>
          <w:rFonts w:hint="eastAsia"/>
        </w:rPr>
        <w:t>号》明确管理部门及岗位职责，依法配备</w:t>
      </w:r>
      <w:r>
        <w:rPr>
          <w:rFonts w:hint="eastAsia"/>
        </w:rPr>
        <w:t>特种设备安全总监和特种设备安全员；对特种设备作业人员资质进行核查，确保持证上岗；查漏补缺，逐台梳理特种设备档案，确保依法依规使用。</w:t>
      </w:r>
    </w:p>
    <w:p w:rsidR="00A57A86" w:rsidRDefault="00A57A86">
      <w:pPr>
        <w:pStyle w:val="2"/>
        <w:spacing w:line="620" w:lineRule="exact"/>
        <w:ind w:firstLine="640"/>
        <w:rPr>
          <w:rFonts w:ascii="仿宋_GB2312" w:eastAsia="仿宋_GB2312" w:hAnsi="仿宋_GB2312" w:cs="仿宋_GB2312"/>
          <w:color w:val="000000" w:themeColor="text1"/>
          <w:sz w:val="32"/>
          <w:szCs w:val="24"/>
        </w:rPr>
      </w:pPr>
    </w:p>
    <w:p w:rsidR="00A57A86" w:rsidRDefault="00A57A86">
      <w:pPr>
        <w:pStyle w:val="2"/>
        <w:spacing w:line="620" w:lineRule="exact"/>
        <w:ind w:firstLine="640"/>
        <w:rPr>
          <w:rFonts w:ascii="仿宋_GB2312" w:eastAsia="仿宋_GB2312"/>
          <w:color w:val="FF0000"/>
          <w:sz w:val="32"/>
          <w:szCs w:val="32"/>
        </w:rPr>
      </w:pPr>
    </w:p>
    <w:p w:rsidR="00A57A86" w:rsidRDefault="0043390F">
      <w:pPr>
        <w:pStyle w:val="2"/>
        <w:spacing w:line="620" w:lineRule="exact"/>
        <w:ind w:firstLineChars="1381" w:firstLine="4419"/>
        <w:rPr>
          <w:rFonts w:ascii="仿宋_GB2312" w:eastAsia="仿宋_GB2312"/>
          <w:sz w:val="32"/>
          <w:szCs w:val="32"/>
        </w:rPr>
      </w:pPr>
      <w:r>
        <w:rPr>
          <w:rFonts w:ascii="仿宋_GB2312" w:eastAsia="仿宋_GB2312" w:hint="eastAsia"/>
          <w:sz w:val="32"/>
          <w:szCs w:val="32"/>
        </w:rPr>
        <w:t>事故结案评估组</w:t>
      </w:r>
    </w:p>
    <w:p w:rsidR="00A57A86" w:rsidRDefault="0043390F">
      <w:pPr>
        <w:pStyle w:val="2"/>
        <w:spacing w:line="620" w:lineRule="exact"/>
        <w:ind w:firstLine="640"/>
        <w:rPr>
          <w:rFonts w:ascii="仿宋_GB2312" w:eastAsia="仿宋_GB2312"/>
          <w:sz w:val="32"/>
          <w:szCs w:val="32"/>
        </w:rPr>
      </w:pPr>
      <w:r>
        <w:rPr>
          <w:rFonts w:ascii="仿宋_GB2312" w:eastAsia="仿宋_GB2312" w:hint="eastAsia"/>
          <w:sz w:val="32"/>
          <w:szCs w:val="32"/>
        </w:rPr>
        <w:t xml:space="preserve">                       2025</w:t>
      </w:r>
      <w:r>
        <w:rPr>
          <w:rFonts w:ascii="仿宋_GB2312" w:eastAsia="仿宋_GB2312" w:hint="eastAsia"/>
          <w:sz w:val="32"/>
          <w:szCs w:val="32"/>
        </w:rPr>
        <w:t>年</w:t>
      </w:r>
      <w:r>
        <w:rPr>
          <w:rFonts w:ascii="仿宋_GB2312" w:eastAsia="仿宋_GB2312" w:hint="eastAsia"/>
          <w:sz w:val="32"/>
          <w:szCs w:val="32"/>
        </w:rPr>
        <w:t>5</w:t>
      </w:r>
      <w:r>
        <w:rPr>
          <w:rFonts w:ascii="仿宋_GB2312" w:eastAsia="仿宋_GB2312" w:hint="eastAsia"/>
          <w:sz w:val="32"/>
          <w:szCs w:val="32"/>
        </w:rPr>
        <w:t>月</w:t>
      </w:r>
      <w:r>
        <w:rPr>
          <w:rFonts w:ascii="仿宋_GB2312" w:eastAsia="仿宋_GB2312" w:hint="eastAsia"/>
          <w:sz w:val="32"/>
          <w:szCs w:val="32"/>
        </w:rPr>
        <w:t>30</w:t>
      </w:r>
      <w:r>
        <w:rPr>
          <w:rFonts w:ascii="仿宋_GB2312" w:eastAsia="仿宋_GB2312" w:hint="eastAsia"/>
          <w:sz w:val="32"/>
          <w:szCs w:val="32"/>
        </w:rPr>
        <w:t>日</w:t>
      </w:r>
    </w:p>
    <w:p w:rsidR="00A57A86" w:rsidRDefault="0043390F">
      <w:pPr>
        <w:pStyle w:val="2"/>
        <w:ind w:firstLine="640"/>
        <w:rPr>
          <w:rFonts w:ascii="仿宋_GB2312" w:eastAsia="仿宋_GB2312"/>
          <w:sz w:val="32"/>
          <w:szCs w:val="32"/>
        </w:rPr>
      </w:pPr>
      <w:r>
        <w:rPr>
          <w:rFonts w:ascii="仿宋_GB2312" w:eastAsia="仿宋_GB2312" w:hint="eastAsia"/>
          <w:sz w:val="32"/>
          <w:szCs w:val="32"/>
        </w:rPr>
        <w:t xml:space="preserve">                          </w:t>
      </w:r>
    </w:p>
    <w:p w:rsidR="00A57A86" w:rsidRDefault="00A57A86">
      <w:pPr>
        <w:adjustRightInd w:val="0"/>
        <w:snapToGrid w:val="0"/>
        <w:spacing w:line="560" w:lineRule="exact"/>
        <w:ind w:firstLine="645"/>
        <w:rPr>
          <w:rFonts w:ascii="仿宋_GB2312" w:eastAsia="仿宋_GB2312"/>
          <w:sz w:val="32"/>
          <w:szCs w:val="32"/>
        </w:rPr>
      </w:pPr>
    </w:p>
    <w:p w:rsidR="00A57A86" w:rsidRDefault="00A57A86">
      <w:pPr>
        <w:adjustRightInd w:val="0"/>
        <w:snapToGrid w:val="0"/>
        <w:spacing w:line="560" w:lineRule="exact"/>
        <w:ind w:firstLine="645"/>
        <w:rPr>
          <w:rFonts w:ascii="仿宋_GB2312" w:eastAsia="仿宋_GB2312"/>
          <w:sz w:val="32"/>
          <w:szCs w:val="32"/>
        </w:rPr>
      </w:pPr>
    </w:p>
    <w:p w:rsidR="00A57A86" w:rsidRDefault="00A57A86">
      <w:pPr>
        <w:adjustRightInd w:val="0"/>
        <w:snapToGrid w:val="0"/>
        <w:spacing w:line="560" w:lineRule="exact"/>
        <w:ind w:firstLine="645"/>
        <w:rPr>
          <w:rFonts w:ascii="仿宋_GB2312" w:eastAsia="仿宋_GB2312"/>
          <w:sz w:val="32"/>
          <w:szCs w:val="32"/>
        </w:rPr>
      </w:pPr>
    </w:p>
    <w:p w:rsidR="00A57A86" w:rsidRDefault="00A57A86">
      <w:pPr>
        <w:adjustRightInd w:val="0"/>
        <w:snapToGrid w:val="0"/>
        <w:spacing w:line="560" w:lineRule="exact"/>
        <w:ind w:firstLine="645"/>
        <w:rPr>
          <w:rFonts w:ascii="仿宋_GB2312" w:eastAsia="仿宋_GB2312"/>
          <w:sz w:val="32"/>
          <w:szCs w:val="32"/>
        </w:rPr>
      </w:pPr>
    </w:p>
    <w:p w:rsidR="00A57A86" w:rsidRDefault="00A57A86"/>
    <w:sectPr w:rsidR="00A57A8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3390F" w:rsidRDefault="0043390F" w:rsidP="0043390F">
      <w:r>
        <w:separator/>
      </w:r>
    </w:p>
  </w:endnote>
  <w:endnote w:type="continuationSeparator" w:id="0">
    <w:p w:rsidR="0043390F" w:rsidRDefault="0043390F" w:rsidP="004339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仿宋">
    <w:panose1 w:val="02010609060101010101"/>
    <w:charset w:val="86"/>
    <w:family w:val="modern"/>
    <w:pitch w:val="fixed"/>
    <w:sig w:usb0="800002BF" w:usb1="38CF7CFA"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3390F" w:rsidRDefault="0043390F" w:rsidP="0043390F">
      <w:r>
        <w:separator/>
      </w:r>
    </w:p>
  </w:footnote>
  <w:footnote w:type="continuationSeparator" w:id="0">
    <w:p w:rsidR="0043390F" w:rsidRDefault="0043390F" w:rsidP="0043390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JiY2YxNTI4OTRhNDlkMGI5MmJjYzk5NGNkN2FiNjYifQ=="/>
  </w:docVars>
  <w:rsids>
    <w:rsidRoot w:val="001F01CB"/>
    <w:rsid w:val="00005D8E"/>
    <w:rsid w:val="00016D93"/>
    <w:rsid w:val="0003476D"/>
    <w:rsid w:val="000449F4"/>
    <w:rsid w:val="00047380"/>
    <w:rsid w:val="00063CA5"/>
    <w:rsid w:val="00087619"/>
    <w:rsid w:val="000A1734"/>
    <w:rsid w:val="000B3E8C"/>
    <w:rsid w:val="000C772C"/>
    <w:rsid w:val="001063BE"/>
    <w:rsid w:val="00122F8F"/>
    <w:rsid w:val="001252FC"/>
    <w:rsid w:val="0013219B"/>
    <w:rsid w:val="0013372B"/>
    <w:rsid w:val="0013693A"/>
    <w:rsid w:val="00153BE8"/>
    <w:rsid w:val="00156295"/>
    <w:rsid w:val="00170B0B"/>
    <w:rsid w:val="00182A90"/>
    <w:rsid w:val="00191A62"/>
    <w:rsid w:val="0019311B"/>
    <w:rsid w:val="0019634A"/>
    <w:rsid w:val="001975BC"/>
    <w:rsid w:val="001B5A1E"/>
    <w:rsid w:val="001B6FD4"/>
    <w:rsid w:val="001C2724"/>
    <w:rsid w:val="001E31BD"/>
    <w:rsid w:val="001F01CB"/>
    <w:rsid w:val="001F3120"/>
    <w:rsid w:val="00204EA6"/>
    <w:rsid w:val="00205D49"/>
    <w:rsid w:val="00246BB9"/>
    <w:rsid w:val="00246DA8"/>
    <w:rsid w:val="002522A9"/>
    <w:rsid w:val="00256E8A"/>
    <w:rsid w:val="002825E0"/>
    <w:rsid w:val="002B2DE3"/>
    <w:rsid w:val="002C337A"/>
    <w:rsid w:val="002F13DF"/>
    <w:rsid w:val="00304239"/>
    <w:rsid w:val="00310F7E"/>
    <w:rsid w:val="003459A0"/>
    <w:rsid w:val="00352416"/>
    <w:rsid w:val="003565C5"/>
    <w:rsid w:val="00360FE3"/>
    <w:rsid w:val="00361BCC"/>
    <w:rsid w:val="00384585"/>
    <w:rsid w:val="0039003D"/>
    <w:rsid w:val="003A4B6B"/>
    <w:rsid w:val="003A6972"/>
    <w:rsid w:val="003C0CB9"/>
    <w:rsid w:val="003C3201"/>
    <w:rsid w:val="003E6735"/>
    <w:rsid w:val="003F34EE"/>
    <w:rsid w:val="003F3CA4"/>
    <w:rsid w:val="003F3F25"/>
    <w:rsid w:val="003F7C68"/>
    <w:rsid w:val="00412DC3"/>
    <w:rsid w:val="0041301F"/>
    <w:rsid w:val="00416410"/>
    <w:rsid w:val="00416B4E"/>
    <w:rsid w:val="004264F6"/>
    <w:rsid w:val="0043390F"/>
    <w:rsid w:val="004379C6"/>
    <w:rsid w:val="004555C3"/>
    <w:rsid w:val="0047447B"/>
    <w:rsid w:val="00484339"/>
    <w:rsid w:val="004869E4"/>
    <w:rsid w:val="004A6D7B"/>
    <w:rsid w:val="004B5A95"/>
    <w:rsid w:val="004D7A84"/>
    <w:rsid w:val="004E201E"/>
    <w:rsid w:val="004F0957"/>
    <w:rsid w:val="004F154D"/>
    <w:rsid w:val="004F33A3"/>
    <w:rsid w:val="005046B9"/>
    <w:rsid w:val="005165D8"/>
    <w:rsid w:val="00524D27"/>
    <w:rsid w:val="005254A6"/>
    <w:rsid w:val="005270C8"/>
    <w:rsid w:val="00527C51"/>
    <w:rsid w:val="0053233D"/>
    <w:rsid w:val="0053353B"/>
    <w:rsid w:val="005401F0"/>
    <w:rsid w:val="00547AAE"/>
    <w:rsid w:val="00554F9A"/>
    <w:rsid w:val="005A147B"/>
    <w:rsid w:val="005A6F5C"/>
    <w:rsid w:val="005B6C07"/>
    <w:rsid w:val="005C1026"/>
    <w:rsid w:val="005C24F1"/>
    <w:rsid w:val="005D4403"/>
    <w:rsid w:val="005E5788"/>
    <w:rsid w:val="005E68E3"/>
    <w:rsid w:val="005F6918"/>
    <w:rsid w:val="00601EE6"/>
    <w:rsid w:val="00610986"/>
    <w:rsid w:val="00621F9B"/>
    <w:rsid w:val="00623AE9"/>
    <w:rsid w:val="00624FE8"/>
    <w:rsid w:val="006828C1"/>
    <w:rsid w:val="006B31C1"/>
    <w:rsid w:val="006C0005"/>
    <w:rsid w:val="006C06B4"/>
    <w:rsid w:val="006C1934"/>
    <w:rsid w:val="006C1DC0"/>
    <w:rsid w:val="006D194E"/>
    <w:rsid w:val="00710415"/>
    <w:rsid w:val="0072364D"/>
    <w:rsid w:val="007430F8"/>
    <w:rsid w:val="00755CE5"/>
    <w:rsid w:val="00763CCE"/>
    <w:rsid w:val="00767FD8"/>
    <w:rsid w:val="007850F9"/>
    <w:rsid w:val="00796934"/>
    <w:rsid w:val="00797B34"/>
    <w:rsid w:val="007B7743"/>
    <w:rsid w:val="007C750D"/>
    <w:rsid w:val="007D3018"/>
    <w:rsid w:val="007D44C6"/>
    <w:rsid w:val="007E0BAD"/>
    <w:rsid w:val="008052D6"/>
    <w:rsid w:val="008140D2"/>
    <w:rsid w:val="00817DF1"/>
    <w:rsid w:val="0082549A"/>
    <w:rsid w:val="008432E4"/>
    <w:rsid w:val="00850777"/>
    <w:rsid w:val="008535FB"/>
    <w:rsid w:val="00854A28"/>
    <w:rsid w:val="008552D0"/>
    <w:rsid w:val="00861C34"/>
    <w:rsid w:val="00875F74"/>
    <w:rsid w:val="00876185"/>
    <w:rsid w:val="008901DA"/>
    <w:rsid w:val="008906FA"/>
    <w:rsid w:val="008A1D67"/>
    <w:rsid w:val="008B54D9"/>
    <w:rsid w:val="008D6B05"/>
    <w:rsid w:val="008D7B05"/>
    <w:rsid w:val="008F5D5D"/>
    <w:rsid w:val="00903999"/>
    <w:rsid w:val="00905278"/>
    <w:rsid w:val="00923732"/>
    <w:rsid w:val="00961600"/>
    <w:rsid w:val="00967B6A"/>
    <w:rsid w:val="00977699"/>
    <w:rsid w:val="0098565C"/>
    <w:rsid w:val="00991AAE"/>
    <w:rsid w:val="009A322D"/>
    <w:rsid w:val="009A4414"/>
    <w:rsid w:val="009B505B"/>
    <w:rsid w:val="009C1597"/>
    <w:rsid w:val="009E4C65"/>
    <w:rsid w:val="00A06108"/>
    <w:rsid w:val="00A1099B"/>
    <w:rsid w:val="00A125EB"/>
    <w:rsid w:val="00A15009"/>
    <w:rsid w:val="00A17959"/>
    <w:rsid w:val="00A3495D"/>
    <w:rsid w:val="00A54B21"/>
    <w:rsid w:val="00A552E3"/>
    <w:rsid w:val="00A57A86"/>
    <w:rsid w:val="00A87D66"/>
    <w:rsid w:val="00A87EB8"/>
    <w:rsid w:val="00A97831"/>
    <w:rsid w:val="00A97F42"/>
    <w:rsid w:val="00AA18E9"/>
    <w:rsid w:val="00AA2F88"/>
    <w:rsid w:val="00AA72CB"/>
    <w:rsid w:val="00AD0BDC"/>
    <w:rsid w:val="00AD0D35"/>
    <w:rsid w:val="00B1070E"/>
    <w:rsid w:val="00B125CF"/>
    <w:rsid w:val="00B20329"/>
    <w:rsid w:val="00B24C43"/>
    <w:rsid w:val="00B24ED8"/>
    <w:rsid w:val="00B3643F"/>
    <w:rsid w:val="00B42DA2"/>
    <w:rsid w:val="00B442F7"/>
    <w:rsid w:val="00B44AFD"/>
    <w:rsid w:val="00B47021"/>
    <w:rsid w:val="00B51FDF"/>
    <w:rsid w:val="00B5588E"/>
    <w:rsid w:val="00B75735"/>
    <w:rsid w:val="00B82842"/>
    <w:rsid w:val="00B82848"/>
    <w:rsid w:val="00B8799A"/>
    <w:rsid w:val="00BA0390"/>
    <w:rsid w:val="00BB1657"/>
    <w:rsid w:val="00BB2D32"/>
    <w:rsid w:val="00BB3C21"/>
    <w:rsid w:val="00BC5363"/>
    <w:rsid w:val="00BD4E57"/>
    <w:rsid w:val="00BD7086"/>
    <w:rsid w:val="00BE1871"/>
    <w:rsid w:val="00BF2097"/>
    <w:rsid w:val="00BF3E40"/>
    <w:rsid w:val="00C038F9"/>
    <w:rsid w:val="00C060B5"/>
    <w:rsid w:val="00C12615"/>
    <w:rsid w:val="00C12632"/>
    <w:rsid w:val="00C17BBF"/>
    <w:rsid w:val="00C26E4E"/>
    <w:rsid w:val="00C43306"/>
    <w:rsid w:val="00C54037"/>
    <w:rsid w:val="00C62CF7"/>
    <w:rsid w:val="00C81C10"/>
    <w:rsid w:val="00C81CED"/>
    <w:rsid w:val="00C976B6"/>
    <w:rsid w:val="00CA1ECA"/>
    <w:rsid w:val="00CA3417"/>
    <w:rsid w:val="00CB0BAA"/>
    <w:rsid w:val="00CB451B"/>
    <w:rsid w:val="00CC6DA3"/>
    <w:rsid w:val="00CD0726"/>
    <w:rsid w:val="00CD4B44"/>
    <w:rsid w:val="00CD5FC7"/>
    <w:rsid w:val="00CF70B2"/>
    <w:rsid w:val="00D02381"/>
    <w:rsid w:val="00D2521D"/>
    <w:rsid w:val="00D25610"/>
    <w:rsid w:val="00D3002F"/>
    <w:rsid w:val="00D46A30"/>
    <w:rsid w:val="00D5131E"/>
    <w:rsid w:val="00D704C0"/>
    <w:rsid w:val="00D8108E"/>
    <w:rsid w:val="00DA6462"/>
    <w:rsid w:val="00DB3931"/>
    <w:rsid w:val="00DC50A3"/>
    <w:rsid w:val="00DF2B8E"/>
    <w:rsid w:val="00DF37EB"/>
    <w:rsid w:val="00DF7D6A"/>
    <w:rsid w:val="00E10241"/>
    <w:rsid w:val="00E153C1"/>
    <w:rsid w:val="00E168DE"/>
    <w:rsid w:val="00E201CC"/>
    <w:rsid w:val="00E32BCF"/>
    <w:rsid w:val="00E33291"/>
    <w:rsid w:val="00E37BAC"/>
    <w:rsid w:val="00E52559"/>
    <w:rsid w:val="00E52751"/>
    <w:rsid w:val="00E56578"/>
    <w:rsid w:val="00E643B0"/>
    <w:rsid w:val="00E66F84"/>
    <w:rsid w:val="00E83582"/>
    <w:rsid w:val="00EA0AC4"/>
    <w:rsid w:val="00EB0299"/>
    <w:rsid w:val="00EC2D00"/>
    <w:rsid w:val="00EC441F"/>
    <w:rsid w:val="00EC6230"/>
    <w:rsid w:val="00ED3A26"/>
    <w:rsid w:val="00EF5BD6"/>
    <w:rsid w:val="00F1302C"/>
    <w:rsid w:val="00F157E7"/>
    <w:rsid w:val="00F15821"/>
    <w:rsid w:val="00F77FCF"/>
    <w:rsid w:val="00FA175A"/>
    <w:rsid w:val="00FA1BD9"/>
    <w:rsid w:val="00FB13A1"/>
    <w:rsid w:val="00FB2237"/>
    <w:rsid w:val="00FB2356"/>
    <w:rsid w:val="00FC0563"/>
    <w:rsid w:val="00FC142C"/>
    <w:rsid w:val="00FC357B"/>
    <w:rsid w:val="00FF3EC2"/>
    <w:rsid w:val="00FF7AB1"/>
    <w:rsid w:val="024C7B7E"/>
    <w:rsid w:val="03085EBC"/>
    <w:rsid w:val="047E7C89"/>
    <w:rsid w:val="060A0859"/>
    <w:rsid w:val="07274ABF"/>
    <w:rsid w:val="07C308C6"/>
    <w:rsid w:val="07E27DE2"/>
    <w:rsid w:val="0F5003B9"/>
    <w:rsid w:val="10464D41"/>
    <w:rsid w:val="12237E16"/>
    <w:rsid w:val="164E5EA7"/>
    <w:rsid w:val="16953C1B"/>
    <w:rsid w:val="18032817"/>
    <w:rsid w:val="210634DE"/>
    <w:rsid w:val="213B3D1A"/>
    <w:rsid w:val="21DB5C6C"/>
    <w:rsid w:val="234C22AC"/>
    <w:rsid w:val="259063F0"/>
    <w:rsid w:val="26E40B30"/>
    <w:rsid w:val="27711F42"/>
    <w:rsid w:val="2EAC6087"/>
    <w:rsid w:val="2F3B5A4A"/>
    <w:rsid w:val="2FFE5A1F"/>
    <w:rsid w:val="35426A49"/>
    <w:rsid w:val="38AF7163"/>
    <w:rsid w:val="3E230FE7"/>
    <w:rsid w:val="3E952BDE"/>
    <w:rsid w:val="3F9C5E26"/>
    <w:rsid w:val="41C77552"/>
    <w:rsid w:val="433E65C2"/>
    <w:rsid w:val="43660A5A"/>
    <w:rsid w:val="442531E5"/>
    <w:rsid w:val="445A589A"/>
    <w:rsid w:val="45603410"/>
    <w:rsid w:val="45D00969"/>
    <w:rsid w:val="472B2CAB"/>
    <w:rsid w:val="472F3056"/>
    <w:rsid w:val="476A606E"/>
    <w:rsid w:val="4A2B5838"/>
    <w:rsid w:val="4A735073"/>
    <w:rsid w:val="4ACB0819"/>
    <w:rsid w:val="4DAC6FE9"/>
    <w:rsid w:val="4E361388"/>
    <w:rsid w:val="4F3B6434"/>
    <w:rsid w:val="4F431A2C"/>
    <w:rsid w:val="5202353D"/>
    <w:rsid w:val="522F1222"/>
    <w:rsid w:val="5391176E"/>
    <w:rsid w:val="554B070C"/>
    <w:rsid w:val="57C51042"/>
    <w:rsid w:val="5D157688"/>
    <w:rsid w:val="5EDD1954"/>
    <w:rsid w:val="5FF6130A"/>
    <w:rsid w:val="65D01703"/>
    <w:rsid w:val="660A3E2C"/>
    <w:rsid w:val="6C8456D5"/>
    <w:rsid w:val="6CC90487"/>
    <w:rsid w:val="72971619"/>
    <w:rsid w:val="744E52FB"/>
    <w:rsid w:val="767725E3"/>
    <w:rsid w:val="76C53D58"/>
    <w:rsid w:val="796B2926"/>
    <w:rsid w:val="7971647C"/>
    <w:rsid w:val="7ACB27BB"/>
    <w:rsid w:val="7B7F4658"/>
    <w:rsid w:val="7BAA1B9F"/>
    <w:rsid w:val="7E7B75A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0" w:uiPriority="0" w:unhideWhenUsed="0" w:qFormat="1"/>
    <w:lsdException w:name="header" w:semiHidden="0" w:qFormat="1"/>
    <w:lsdException w:name="footer" w:semiHidden="0" w:unhideWhenUsed="0" w:qFormat="1"/>
    <w:lsdException w:name="caption" w:uiPriority="35" w:qFormat="1"/>
    <w:lsdException w:name="page number" w:semiHidden="0" w:uiPriority="0" w:unhideWhenUsed="0" w:qFormat="1"/>
    <w:lsdException w:name="Title" w:semiHidden="0" w:uiPriority="10" w:unhideWhenUsed="0" w:qFormat="1"/>
    <w:lsdException w:name="Default Paragraph Font" w:uiPriority="1" w:qFormat="1"/>
    <w:lsdException w:name="Body Text" w:qFormat="1"/>
    <w:lsdException w:name="Body Text Indent" w:semiHidden="0" w:uiPriority="0" w:unhideWhenUsed="0" w:qFormat="1"/>
    <w:lsdException w:name="Subtitle" w:semiHidden="0" w:uiPriority="11" w:unhideWhenUsed="0" w:qFormat="1"/>
    <w:lsdException w:name="Body Text First Indent 2" w:semiHidden="0" w:uiPriority="0" w:unhideWhenUsed="0" w:qFormat="1"/>
    <w:lsdException w:name="Body Text Indent 2" w:semiHidden="0" w:uiPriority="0" w:unhideWhenUsed="0" w:qFormat="1"/>
    <w:lsdException w:name="Strong" w:semiHidden="0" w:uiPriority="22" w:unhideWhenUsed="0" w:qFormat="1"/>
    <w:lsdException w:name="Emphasis" w:semiHidden="0" w:uiPriority="20" w:unhideWhenUsed="0"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2"/>
    <w:qFormat/>
    <w:pPr>
      <w:widowControl w:val="0"/>
      <w:jc w:val="both"/>
    </w:pPr>
    <w:rPr>
      <w:rFonts w:ascii="Calibri" w:hAnsi="Calibr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First Indent 2"/>
    <w:basedOn w:val="a3"/>
    <w:qFormat/>
    <w:pPr>
      <w:spacing w:after="0"/>
      <w:ind w:firstLineChars="200" w:firstLine="420"/>
    </w:pPr>
  </w:style>
  <w:style w:type="paragraph" w:styleId="a3">
    <w:name w:val="Body Text Indent"/>
    <w:basedOn w:val="a"/>
    <w:next w:val="a4"/>
    <w:qFormat/>
    <w:pPr>
      <w:spacing w:after="120"/>
      <w:ind w:leftChars="200" w:left="420"/>
    </w:pPr>
  </w:style>
  <w:style w:type="paragraph" w:styleId="a4">
    <w:name w:val="Normal Indent"/>
    <w:basedOn w:val="a"/>
    <w:qFormat/>
    <w:pPr>
      <w:ind w:firstLineChars="200" w:firstLine="420"/>
    </w:pPr>
    <w:rPr>
      <w:rFonts w:eastAsia="仿宋"/>
      <w:sz w:val="32"/>
    </w:rPr>
  </w:style>
  <w:style w:type="paragraph" w:styleId="a5">
    <w:name w:val="Body Text"/>
    <w:basedOn w:val="a"/>
    <w:link w:val="Char"/>
    <w:uiPriority w:val="99"/>
    <w:semiHidden/>
    <w:unhideWhenUsed/>
    <w:qFormat/>
    <w:pPr>
      <w:spacing w:after="120"/>
    </w:pPr>
  </w:style>
  <w:style w:type="paragraph" w:styleId="20">
    <w:name w:val="Body Text Indent 2"/>
    <w:basedOn w:val="a"/>
    <w:link w:val="2Char"/>
    <w:qFormat/>
    <w:pPr>
      <w:widowControl/>
      <w:adjustRightInd w:val="0"/>
      <w:snapToGrid w:val="0"/>
      <w:spacing w:after="120" w:line="480" w:lineRule="auto"/>
      <w:ind w:leftChars="200" w:left="420"/>
      <w:jc w:val="left"/>
    </w:pPr>
    <w:rPr>
      <w:rFonts w:ascii="Times New Roman" w:hAnsi="Times New Roman"/>
      <w:kern w:val="0"/>
      <w:sz w:val="22"/>
    </w:rPr>
  </w:style>
  <w:style w:type="paragraph" w:styleId="a6">
    <w:name w:val="Balloon Text"/>
    <w:basedOn w:val="a"/>
    <w:link w:val="Char0"/>
    <w:uiPriority w:val="99"/>
    <w:semiHidden/>
    <w:unhideWhenUsed/>
    <w:qFormat/>
    <w:rPr>
      <w:sz w:val="18"/>
      <w:szCs w:val="18"/>
    </w:rPr>
  </w:style>
  <w:style w:type="paragraph" w:styleId="a7">
    <w:name w:val="footer"/>
    <w:uiPriority w:val="99"/>
    <w:qFormat/>
    <w:pPr>
      <w:widowControl w:val="0"/>
      <w:tabs>
        <w:tab w:val="center" w:pos="4153"/>
        <w:tab w:val="right" w:pos="8306"/>
      </w:tabs>
      <w:snapToGrid w:val="0"/>
    </w:pPr>
    <w:rPr>
      <w:kern w:val="2"/>
      <w:sz w:val="18"/>
      <w:szCs w:val="18"/>
    </w:rPr>
  </w:style>
  <w:style w:type="paragraph" w:styleId="a8">
    <w:name w:val="header"/>
    <w:uiPriority w:val="99"/>
    <w:unhideWhenUsed/>
    <w:qFormat/>
    <w:pPr>
      <w:widowControl w:val="0"/>
      <w:pBdr>
        <w:bottom w:val="single" w:sz="6" w:space="1" w:color="auto"/>
      </w:pBdr>
      <w:tabs>
        <w:tab w:val="center" w:pos="4153"/>
        <w:tab w:val="right" w:pos="8306"/>
      </w:tabs>
      <w:snapToGrid w:val="0"/>
      <w:jc w:val="center"/>
    </w:pPr>
    <w:rPr>
      <w:rFonts w:ascii="Calibri" w:hAnsi="Calibri"/>
      <w:kern w:val="2"/>
      <w:sz w:val="18"/>
      <w:szCs w:val="18"/>
    </w:rPr>
  </w:style>
  <w:style w:type="character" w:styleId="a9">
    <w:name w:val="page number"/>
    <w:qFormat/>
  </w:style>
  <w:style w:type="paragraph" w:styleId="aa">
    <w:name w:val="List Paragraph"/>
    <w:basedOn w:val="a"/>
    <w:uiPriority w:val="34"/>
    <w:qFormat/>
    <w:pPr>
      <w:ind w:firstLineChars="200" w:firstLine="420"/>
    </w:pPr>
  </w:style>
  <w:style w:type="character" w:customStyle="1" w:styleId="Char0">
    <w:name w:val="批注框文本 Char"/>
    <w:basedOn w:val="a0"/>
    <w:link w:val="a6"/>
    <w:uiPriority w:val="99"/>
    <w:semiHidden/>
    <w:qFormat/>
    <w:rPr>
      <w:rFonts w:ascii="Calibri" w:eastAsia="宋体" w:hAnsi="Calibri" w:cs="Times New Roman"/>
      <w:kern w:val="2"/>
      <w:sz w:val="18"/>
      <w:szCs w:val="18"/>
    </w:rPr>
  </w:style>
  <w:style w:type="character" w:customStyle="1" w:styleId="Char">
    <w:name w:val="正文文本 Char"/>
    <w:basedOn w:val="a0"/>
    <w:link w:val="a5"/>
    <w:uiPriority w:val="99"/>
    <w:semiHidden/>
    <w:qFormat/>
    <w:rPr>
      <w:rFonts w:ascii="Calibri" w:eastAsia="宋体" w:hAnsi="Calibri" w:cs="Times New Roman"/>
      <w:kern w:val="2"/>
      <w:sz w:val="21"/>
      <w:szCs w:val="22"/>
    </w:rPr>
  </w:style>
  <w:style w:type="character" w:customStyle="1" w:styleId="2Char">
    <w:name w:val="正文文本缩进 2 Char"/>
    <w:basedOn w:val="a0"/>
    <w:link w:val="20"/>
    <w:qFormat/>
    <w:rPr>
      <w:rFonts w:ascii="Times New Roman" w:eastAsia="宋体" w:hAnsi="Times New Roman" w:cs="Times New Roman"/>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0" w:uiPriority="0" w:unhideWhenUsed="0" w:qFormat="1"/>
    <w:lsdException w:name="header" w:semiHidden="0" w:qFormat="1"/>
    <w:lsdException w:name="footer" w:semiHidden="0" w:unhideWhenUsed="0" w:qFormat="1"/>
    <w:lsdException w:name="caption" w:uiPriority="35" w:qFormat="1"/>
    <w:lsdException w:name="page number" w:semiHidden="0" w:uiPriority="0" w:unhideWhenUsed="0" w:qFormat="1"/>
    <w:lsdException w:name="Title" w:semiHidden="0" w:uiPriority="10" w:unhideWhenUsed="0" w:qFormat="1"/>
    <w:lsdException w:name="Default Paragraph Font" w:uiPriority="1" w:qFormat="1"/>
    <w:lsdException w:name="Body Text" w:qFormat="1"/>
    <w:lsdException w:name="Body Text Indent" w:semiHidden="0" w:uiPriority="0" w:unhideWhenUsed="0" w:qFormat="1"/>
    <w:lsdException w:name="Subtitle" w:semiHidden="0" w:uiPriority="11" w:unhideWhenUsed="0" w:qFormat="1"/>
    <w:lsdException w:name="Body Text First Indent 2" w:semiHidden="0" w:uiPriority="0" w:unhideWhenUsed="0" w:qFormat="1"/>
    <w:lsdException w:name="Body Text Indent 2" w:semiHidden="0" w:uiPriority="0" w:unhideWhenUsed="0" w:qFormat="1"/>
    <w:lsdException w:name="Strong" w:semiHidden="0" w:uiPriority="22" w:unhideWhenUsed="0" w:qFormat="1"/>
    <w:lsdException w:name="Emphasis" w:semiHidden="0" w:uiPriority="20" w:unhideWhenUsed="0"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2"/>
    <w:qFormat/>
    <w:pPr>
      <w:widowControl w:val="0"/>
      <w:jc w:val="both"/>
    </w:pPr>
    <w:rPr>
      <w:rFonts w:ascii="Calibri" w:hAnsi="Calibr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First Indent 2"/>
    <w:basedOn w:val="a3"/>
    <w:qFormat/>
    <w:pPr>
      <w:spacing w:after="0"/>
      <w:ind w:firstLineChars="200" w:firstLine="420"/>
    </w:pPr>
  </w:style>
  <w:style w:type="paragraph" w:styleId="a3">
    <w:name w:val="Body Text Indent"/>
    <w:basedOn w:val="a"/>
    <w:next w:val="a4"/>
    <w:qFormat/>
    <w:pPr>
      <w:spacing w:after="120"/>
      <w:ind w:leftChars="200" w:left="420"/>
    </w:pPr>
  </w:style>
  <w:style w:type="paragraph" w:styleId="a4">
    <w:name w:val="Normal Indent"/>
    <w:basedOn w:val="a"/>
    <w:qFormat/>
    <w:pPr>
      <w:ind w:firstLineChars="200" w:firstLine="420"/>
    </w:pPr>
    <w:rPr>
      <w:rFonts w:eastAsia="仿宋"/>
      <w:sz w:val="32"/>
    </w:rPr>
  </w:style>
  <w:style w:type="paragraph" w:styleId="a5">
    <w:name w:val="Body Text"/>
    <w:basedOn w:val="a"/>
    <w:link w:val="Char"/>
    <w:uiPriority w:val="99"/>
    <w:semiHidden/>
    <w:unhideWhenUsed/>
    <w:qFormat/>
    <w:pPr>
      <w:spacing w:after="120"/>
    </w:pPr>
  </w:style>
  <w:style w:type="paragraph" w:styleId="20">
    <w:name w:val="Body Text Indent 2"/>
    <w:basedOn w:val="a"/>
    <w:link w:val="2Char"/>
    <w:qFormat/>
    <w:pPr>
      <w:widowControl/>
      <w:adjustRightInd w:val="0"/>
      <w:snapToGrid w:val="0"/>
      <w:spacing w:after="120" w:line="480" w:lineRule="auto"/>
      <w:ind w:leftChars="200" w:left="420"/>
      <w:jc w:val="left"/>
    </w:pPr>
    <w:rPr>
      <w:rFonts w:ascii="Times New Roman" w:hAnsi="Times New Roman"/>
      <w:kern w:val="0"/>
      <w:sz w:val="22"/>
    </w:rPr>
  </w:style>
  <w:style w:type="paragraph" w:styleId="a6">
    <w:name w:val="Balloon Text"/>
    <w:basedOn w:val="a"/>
    <w:link w:val="Char0"/>
    <w:uiPriority w:val="99"/>
    <w:semiHidden/>
    <w:unhideWhenUsed/>
    <w:qFormat/>
    <w:rPr>
      <w:sz w:val="18"/>
      <w:szCs w:val="18"/>
    </w:rPr>
  </w:style>
  <w:style w:type="paragraph" w:styleId="a7">
    <w:name w:val="footer"/>
    <w:uiPriority w:val="99"/>
    <w:qFormat/>
    <w:pPr>
      <w:widowControl w:val="0"/>
      <w:tabs>
        <w:tab w:val="center" w:pos="4153"/>
        <w:tab w:val="right" w:pos="8306"/>
      </w:tabs>
      <w:snapToGrid w:val="0"/>
    </w:pPr>
    <w:rPr>
      <w:kern w:val="2"/>
      <w:sz w:val="18"/>
      <w:szCs w:val="18"/>
    </w:rPr>
  </w:style>
  <w:style w:type="paragraph" w:styleId="a8">
    <w:name w:val="header"/>
    <w:uiPriority w:val="99"/>
    <w:unhideWhenUsed/>
    <w:qFormat/>
    <w:pPr>
      <w:widowControl w:val="0"/>
      <w:pBdr>
        <w:bottom w:val="single" w:sz="6" w:space="1" w:color="auto"/>
      </w:pBdr>
      <w:tabs>
        <w:tab w:val="center" w:pos="4153"/>
        <w:tab w:val="right" w:pos="8306"/>
      </w:tabs>
      <w:snapToGrid w:val="0"/>
      <w:jc w:val="center"/>
    </w:pPr>
    <w:rPr>
      <w:rFonts w:ascii="Calibri" w:hAnsi="Calibri"/>
      <w:kern w:val="2"/>
      <w:sz w:val="18"/>
      <w:szCs w:val="18"/>
    </w:rPr>
  </w:style>
  <w:style w:type="character" w:styleId="a9">
    <w:name w:val="page number"/>
    <w:qFormat/>
  </w:style>
  <w:style w:type="paragraph" w:styleId="aa">
    <w:name w:val="List Paragraph"/>
    <w:basedOn w:val="a"/>
    <w:uiPriority w:val="34"/>
    <w:qFormat/>
    <w:pPr>
      <w:ind w:firstLineChars="200" w:firstLine="420"/>
    </w:pPr>
  </w:style>
  <w:style w:type="character" w:customStyle="1" w:styleId="Char0">
    <w:name w:val="批注框文本 Char"/>
    <w:basedOn w:val="a0"/>
    <w:link w:val="a6"/>
    <w:uiPriority w:val="99"/>
    <w:semiHidden/>
    <w:qFormat/>
    <w:rPr>
      <w:rFonts w:ascii="Calibri" w:eastAsia="宋体" w:hAnsi="Calibri" w:cs="Times New Roman"/>
      <w:kern w:val="2"/>
      <w:sz w:val="18"/>
      <w:szCs w:val="18"/>
    </w:rPr>
  </w:style>
  <w:style w:type="character" w:customStyle="1" w:styleId="Char">
    <w:name w:val="正文文本 Char"/>
    <w:basedOn w:val="a0"/>
    <w:link w:val="a5"/>
    <w:uiPriority w:val="99"/>
    <w:semiHidden/>
    <w:qFormat/>
    <w:rPr>
      <w:rFonts w:ascii="Calibri" w:eastAsia="宋体" w:hAnsi="Calibri" w:cs="Times New Roman"/>
      <w:kern w:val="2"/>
      <w:sz w:val="21"/>
      <w:szCs w:val="22"/>
    </w:rPr>
  </w:style>
  <w:style w:type="character" w:customStyle="1" w:styleId="2Char">
    <w:name w:val="正文文本缩进 2 Char"/>
    <w:basedOn w:val="a0"/>
    <w:link w:val="20"/>
    <w:qFormat/>
    <w:rPr>
      <w:rFonts w:ascii="Times New Roman" w:eastAsia="宋体" w:hAnsi="Times New Roman" w:cs="Times New Roman"/>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2806</TotalTime>
  <Pages>6</Pages>
  <Words>373</Words>
  <Characters>2131</Characters>
  <Application>Microsoft Office Word</Application>
  <DocSecurity>0</DocSecurity>
  <Lines>17</Lines>
  <Paragraphs>4</Paragraphs>
  <ScaleCrop>false</ScaleCrop>
  <Company>Microsoft</Company>
  <LinksUpToDate>false</LinksUpToDate>
  <CharactersWithSpaces>2500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杨海潮</dc:creator>
  <cp:lastModifiedBy>王辉</cp:lastModifiedBy>
  <cp:revision>71</cp:revision>
  <cp:lastPrinted>2022-09-22T02:40:00Z</cp:lastPrinted>
  <dcterms:created xsi:type="dcterms:W3CDTF">2024-07-11T00:53:00Z</dcterms:created>
  <dcterms:modified xsi:type="dcterms:W3CDTF">2025-06-09T06:09:00Z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EFF1EC9590984490A451A1A6858E2C38</vt:lpwstr>
  </property>
  <property fmtid="{D5CDD505-2E9C-101B-9397-08002B2CF9AE}" pid="4" name="KSOTemplateDocerSaveRecord">
    <vt:lpwstr>eyJoZGlkIjoiYzJiY2YxNTI4OTRhNDlkMGI5MmJjYzk5NGNkN2FiNjYifQ==</vt:lpwstr>
  </property>
</Properties>
</file>